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E4F5" w14:textId="1E3C3FEC" w:rsidR="7718450E" w:rsidRDefault="001B287E" w:rsidP="2664636F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11</w:t>
      </w:r>
      <w:r w:rsidR="7718450E" w:rsidRPr="53B43B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.pielikums</w:t>
      </w:r>
    </w:p>
    <w:p w14:paraId="23C20EEF" w14:textId="09DD0416" w:rsidR="7718450E" w:rsidRDefault="7718450E" w:rsidP="2664636F">
      <w:pPr>
        <w:tabs>
          <w:tab w:val="center" w:pos="4153"/>
          <w:tab w:val="right" w:pos="8306"/>
          <w:tab w:val="center" w:pos="11160"/>
        </w:tabs>
        <w:spacing w:after="0"/>
        <w:jc w:val="right"/>
      </w:pPr>
      <w:r w:rsidRPr="266463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Latvijas Investīciju un attīstības aģentūras</w:t>
      </w:r>
      <w:r>
        <w:br/>
      </w:r>
      <w:r w:rsidRPr="266463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iekšējiem noteikumiem </w:t>
      </w:r>
      <w:r w:rsidRPr="2664636F">
        <w:rPr>
          <w:rFonts w:ascii="Times New Roman" w:eastAsia="Times New Roman" w:hAnsi="Times New Roman" w:cs="Times New Roman"/>
          <w:sz w:val="20"/>
          <w:szCs w:val="20"/>
        </w:rPr>
        <w:t xml:space="preserve">Nr. </w:t>
      </w:r>
      <w:r w:rsidR="001B287E" w:rsidRPr="001B287E">
        <w:rPr>
          <w:rFonts w:ascii="Times New Roman" w:eastAsia="Times New Roman" w:hAnsi="Times New Roman" w:cs="Times New Roman"/>
          <w:sz w:val="20"/>
          <w:szCs w:val="20"/>
        </w:rPr>
        <w:t>1.1-29.1/2025/11</w:t>
      </w:r>
    </w:p>
    <w:p w14:paraId="003EC7E9" w14:textId="1CF6FF6C" w:rsidR="2664636F" w:rsidRDefault="2664636F" w:rsidP="2664636F">
      <w:pPr>
        <w:pStyle w:val="paragraph"/>
        <w:spacing w:before="0" w:beforeAutospacing="0" w:after="0" w:afterAutospacing="0"/>
        <w:ind w:right="270"/>
        <w:jc w:val="center"/>
        <w:rPr>
          <w:rStyle w:val="normaltextrun"/>
          <w:rFonts w:eastAsiaTheme="majorEastAsia"/>
          <w:b/>
          <w:bCs/>
          <w:caps/>
        </w:rPr>
      </w:pPr>
    </w:p>
    <w:p w14:paraId="0E315B99" w14:textId="0245087D" w:rsidR="006B1238" w:rsidRDefault="006B1238" w:rsidP="2664636F">
      <w:pPr>
        <w:pStyle w:val="paragraph"/>
        <w:spacing w:before="0" w:beforeAutospacing="0" w:after="0" w:afterAutospacing="0"/>
        <w:ind w:right="27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664636F">
        <w:rPr>
          <w:rStyle w:val="normaltextrun"/>
          <w:rFonts w:eastAsiaTheme="majorEastAsia"/>
          <w:b/>
          <w:bCs/>
          <w:caps/>
        </w:rPr>
        <w:t>PĀRSKATS PAR PROJEKTA IETVAROS VEIKTAJIEM IEGULDĪJUMIEM</w:t>
      </w:r>
      <w:r w:rsidR="001B287E">
        <w:rPr>
          <w:rStyle w:val="normaltextrun"/>
          <w:rFonts w:eastAsiaTheme="majorEastAsia"/>
          <w:b/>
          <w:bCs/>
          <w:caps/>
        </w:rPr>
        <w:t>, tai skaitā investīcijām vietējā infrastruktūrā</w:t>
      </w:r>
      <w:r w:rsidRPr="2664636F">
        <w:rPr>
          <w:rStyle w:val="eop"/>
          <w:rFonts w:eastAsiaTheme="majorEastAsia"/>
        </w:rPr>
        <w:t> </w:t>
      </w:r>
    </w:p>
    <w:p w14:paraId="47250EB2" w14:textId="709FB8EE" w:rsidR="00395D04" w:rsidRDefault="00395D04" w:rsidP="00F208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9"/>
        <w:gridCol w:w="709"/>
        <w:gridCol w:w="1984"/>
        <w:gridCol w:w="2064"/>
      </w:tblGrid>
      <w:tr w:rsidR="00395D04" w:rsidRPr="006B1238" w14:paraId="68A8D89B" w14:textId="77777777" w:rsidTr="212F4F7C">
        <w:trPr>
          <w:trHeight w:val="46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6E000C8" w14:textId="77777777" w:rsidR="00395D04" w:rsidRPr="006B1238" w:rsidRDefault="00395D04" w:rsidP="00724729">
            <w:pPr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B1238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Ieguldījuma veids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8AF7AA" w14:textId="77777777" w:rsidR="00395D04" w:rsidRPr="006B1238" w:rsidRDefault="00395D04" w:rsidP="00724729">
            <w:pPr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B1238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Jā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04BE3BE" w14:textId="77777777" w:rsidR="00395D04" w:rsidRPr="006B1238" w:rsidRDefault="00395D04" w:rsidP="00724729">
            <w:pPr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B1238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Nē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6C9F3A" w14:textId="6250E0ED" w:rsidR="00395D04" w:rsidRDefault="00395D04" w:rsidP="00724729">
            <w:pPr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Ieguldījuma apmērs</w:t>
            </w:r>
            <w:r w:rsidR="00794929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un vieta (ja iespējams norādīt)</w:t>
            </w:r>
          </w:p>
        </w:tc>
        <w:tc>
          <w:tcPr>
            <w:tcW w:w="2064" w:type="dxa"/>
            <w:shd w:val="clear" w:color="auto" w:fill="D9D9D9" w:themeFill="background1" w:themeFillShade="D9"/>
            <w:vAlign w:val="center"/>
          </w:tcPr>
          <w:p w14:paraId="44255E8B" w14:textId="77777777" w:rsidR="00395D04" w:rsidRPr="006B1238" w:rsidRDefault="00395D04" w:rsidP="00724729">
            <w:pPr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Piezīmes</w:t>
            </w:r>
          </w:p>
        </w:tc>
      </w:tr>
      <w:tr w:rsidR="00395D04" w:rsidRPr="006B1238" w14:paraId="51226D73" w14:textId="77777777" w:rsidTr="212F4F7C">
        <w:tc>
          <w:tcPr>
            <w:tcW w:w="2830" w:type="dxa"/>
          </w:tcPr>
          <w:p w14:paraId="308A918B" w14:textId="23EBBA74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Infrastruktūras attīstība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>veikti ieguldījumi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 xml:space="preserve"> infrastruktūras uzlabojum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>s, piemēram, stadionu un izklaides vietu izveid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 w:rsidR="00A03D19">
              <w:rPr>
                <w:rFonts w:ascii="Times New Roman" w:hAnsi="Times New Roman" w:cs="Times New Roman"/>
                <w:sz w:val="24"/>
                <w:szCs w:val="24"/>
              </w:rPr>
              <w:t>, ēku un telpu restaurācijā un remontā, ceļu un teritorijas labiekārtošanā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 xml:space="preserve"> u.c.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4EFE562A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E3C6CD7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2836F1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04D0964B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D04" w:rsidRPr="006B1238" w14:paraId="57E265AF" w14:textId="77777777" w:rsidTr="212F4F7C">
        <w:tc>
          <w:tcPr>
            <w:tcW w:w="2830" w:type="dxa"/>
          </w:tcPr>
          <w:p w14:paraId="30CDA314" w14:textId="40EFD4A4" w:rsidR="00395D04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Tūrisms un viesmīlība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 xml:space="preserve"> (veiktā ieguldījuma rezultātā 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>vietējā tūrisma nozare piedzīvo izaugsmi, palielinoties viesu skaitam un pakalpojumu pieprasījumam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BF608FC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8C399C5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EED576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2F7FE0DE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874" w:rsidRPr="006B1238" w14:paraId="4E5FBA9C" w14:textId="77777777" w:rsidTr="212F4F7C">
        <w:tc>
          <w:tcPr>
            <w:tcW w:w="2830" w:type="dxa"/>
          </w:tcPr>
          <w:p w14:paraId="6ABEBBBC" w14:textId="62E9BB43" w:rsidR="00F20874" w:rsidRDefault="00F2087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20874">
              <w:rPr>
                <w:rFonts w:ascii="Times New Roman" w:hAnsi="Times New Roman" w:cs="Times New Roman"/>
                <w:sz w:val="24"/>
                <w:szCs w:val="24"/>
              </w:rPr>
              <w:t>omerciālais darījumu pieaugums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veiktais ieguldījums </w:t>
            </w:r>
            <w:r w:rsidRPr="00F20874">
              <w:rPr>
                <w:rFonts w:ascii="Times New Roman" w:hAnsi="Times New Roman" w:cs="Times New Roman"/>
                <w:sz w:val="24"/>
                <w:szCs w:val="24"/>
              </w:rPr>
              <w:t>veicina pārdošanas pieaugumu dažādās nozarēs, piemēram, veikalos, restorānos un suvenīru veikalos)</w:t>
            </w:r>
          </w:p>
        </w:tc>
        <w:tc>
          <w:tcPr>
            <w:tcW w:w="709" w:type="dxa"/>
          </w:tcPr>
          <w:p w14:paraId="3234FEF4" w14:textId="77777777" w:rsidR="00F20874" w:rsidRPr="006B1238" w:rsidRDefault="00F2087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25A072" w14:textId="77777777" w:rsidR="00F20874" w:rsidRPr="006B1238" w:rsidRDefault="00F2087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890C08" w14:textId="77777777" w:rsidR="00F20874" w:rsidRPr="006B1238" w:rsidRDefault="00F2087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109F67D9" w14:textId="77777777" w:rsidR="00F20874" w:rsidRPr="006B1238" w:rsidRDefault="00F2087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D04" w:rsidRPr="006B1238" w14:paraId="76D37F53" w14:textId="77777777" w:rsidTr="212F4F7C">
        <w:tc>
          <w:tcPr>
            <w:tcW w:w="2830" w:type="dxa"/>
          </w:tcPr>
          <w:p w14:paraId="2363DDE4" w14:textId="19020FC6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Mediju vides un reklāmas ietekme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>veiktā ieguldījuma rezultātā tiek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 xml:space="preserve"> piesaist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>īta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 xml:space="preserve"> plašu mediju interes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>, kas kalpo kā lieliska reklāma valstij vai attiecīgajai pilsētai, kas palielina uzņēmējdarbības un tūrisma interesi)</w:t>
            </w:r>
          </w:p>
        </w:tc>
        <w:tc>
          <w:tcPr>
            <w:tcW w:w="709" w:type="dxa"/>
          </w:tcPr>
          <w:p w14:paraId="49443C35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9C6A8ED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4B669D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28AC58B2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D04" w:rsidRPr="006B1238" w14:paraId="72CD4BE9" w14:textId="77777777" w:rsidTr="212F4F7C">
        <w:tc>
          <w:tcPr>
            <w:tcW w:w="2830" w:type="dxa"/>
          </w:tcPr>
          <w:p w14:paraId="2AC88B1D" w14:textId="36C80103" w:rsidR="00395D04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vietu radīšana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 xml:space="preserve">(jaunas darba vietas veido ne tikai paši 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>projekta īstenotāji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 xml:space="preserve">arī 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 xml:space="preserve">saistītajās 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nozarēs esošie uzņēmēji, piemēram, drošības, uzkopšanas vai ēdināšanas jomās)</w:t>
            </w:r>
          </w:p>
        </w:tc>
        <w:tc>
          <w:tcPr>
            <w:tcW w:w="709" w:type="dxa"/>
          </w:tcPr>
          <w:p w14:paraId="6A8DAA07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C0CE38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B427F7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0C6DFE9C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D04" w:rsidRPr="006B1238" w14:paraId="7F77189B" w14:textId="77777777" w:rsidTr="212F4F7C">
        <w:tc>
          <w:tcPr>
            <w:tcW w:w="2830" w:type="dxa"/>
          </w:tcPr>
          <w:p w14:paraId="48E60E0C" w14:textId="57F50B42" w:rsidR="00395D04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Ieguldījums sportā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>veiktais ieguldījums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 xml:space="preserve"> iedvesmo cilvēkus piedalīties sportiskās aktivitātēs un uzsākt veselīgāku dzīvesveidu, veicina veselības pratību)</w:t>
            </w:r>
          </w:p>
        </w:tc>
        <w:tc>
          <w:tcPr>
            <w:tcW w:w="709" w:type="dxa"/>
          </w:tcPr>
          <w:p w14:paraId="3CB5CB7C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54C27D2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A0599C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239AA9F6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D04" w:rsidRPr="006B1238" w14:paraId="4249609E" w14:textId="77777777" w:rsidTr="212F4F7C">
        <w:tc>
          <w:tcPr>
            <w:tcW w:w="2830" w:type="dxa"/>
          </w:tcPr>
          <w:p w14:paraId="16F7F523" w14:textId="4BB0F48E" w:rsidR="00395D04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Ieguldījums kultūrā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0874">
              <w:rPr>
                <w:rFonts w:ascii="Times New Roman" w:hAnsi="Times New Roman" w:cs="Times New Roman"/>
                <w:sz w:val="24"/>
                <w:szCs w:val="24"/>
              </w:rPr>
              <w:t>veiktie ieguldījumi</w:t>
            </w:r>
            <w:r w:rsidR="00F20874" w:rsidRPr="00F20874">
              <w:rPr>
                <w:rFonts w:ascii="Times New Roman" w:hAnsi="Times New Roman" w:cs="Times New Roman"/>
                <w:sz w:val="24"/>
                <w:szCs w:val="24"/>
              </w:rPr>
              <w:t xml:space="preserve"> kultūras nozarē nostiprina Latvijas kultūras identitāti, kā arī paplašina Latvijas iedzīvotāju redzesloku starptautiskā skatījumā, veicinot kultūru apmaiņu un globālo izpratni par Latvijas kultūru, tradīcijām un vēsturisko mantojumu)</w:t>
            </w:r>
          </w:p>
        </w:tc>
        <w:tc>
          <w:tcPr>
            <w:tcW w:w="709" w:type="dxa"/>
          </w:tcPr>
          <w:p w14:paraId="4183F8E3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EEFE6A4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701B09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6BCA130A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D04" w:rsidRPr="006B1238" w14:paraId="3F86E9AE" w14:textId="77777777" w:rsidTr="212F4F7C">
        <w:tc>
          <w:tcPr>
            <w:tcW w:w="2830" w:type="dxa"/>
          </w:tcPr>
          <w:p w14:paraId="140C5C27" w14:textId="77777777" w:rsidR="00395D04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 veida ieguldījumi:</w:t>
            </w:r>
          </w:p>
          <w:p w14:paraId="3937F3F9" w14:textId="77777777" w:rsidR="00395D04" w:rsidRDefault="00395D04" w:rsidP="0072472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2976CF4" w14:textId="77777777" w:rsidR="00395D04" w:rsidRPr="006B1238" w:rsidRDefault="00395D04" w:rsidP="0072472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</w:tcPr>
          <w:p w14:paraId="763B89C7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219FE3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FFA666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4B9F7637" w14:textId="77777777" w:rsidR="00395D04" w:rsidRPr="006B1238" w:rsidRDefault="00395D04" w:rsidP="0072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AEEA4" w14:textId="77777777" w:rsidR="00395D04" w:rsidRDefault="00395D04" w:rsidP="00395D04"/>
    <w:sectPr w:rsidR="00395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54FE7"/>
    <w:multiLevelType w:val="hybridMultilevel"/>
    <w:tmpl w:val="DED083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A127E"/>
    <w:multiLevelType w:val="hybridMultilevel"/>
    <w:tmpl w:val="300EEF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88957">
    <w:abstractNumId w:val="1"/>
  </w:num>
  <w:num w:numId="2" w16cid:durableId="189800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38"/>
    <w:rsid w:val="000131BB"/>
    <w:rsid w:val="00023B50"/>
    <w:rsid w:val="00044216"/>
    <w:rsid w:val="001B287E"/>
    <w:rsid w:val="002A4A03"/>
    <w:rsid w:val="00395D04"/>
    <w:rsid w:val="0048084F"/>
    <w:rsid w:val="004E2839"/>
    <w:rsid w:val="004F69EE"/>
    <w:rsid w:val="00510E22"/>
    <w:rsid w:val="0052223B"/>
    <w:rsid w:val="005A2805"/>
    <w:rsid w:val="00644D10"/>
    <w:rsid w:val="006B1238"/>
    <w:rsid w:val="0077778E"/>
    <w:rsid w:val="00794929"/>
    <w:rsid w:val="008B7EF0"/>
    <w:rsid w:val="008E42C2"/>
    <w:rsid w:val="00916A55"/>
    <w:rsid w:val="00A03D19"/>
    <w:rsid w:val="00A2055C"/>
    <w:rsid w:val="00A60E48"/>
    <w:rsid w:val="00B464E6"/>
    <w:rsid w:val="00BB3693"/>
    <w:rsid w:val="00D01241"/>
    <w:rsid w:val="00D92B86"/>
    <w:rsid w:val="00F20874"/>
    <w:rsid w:val="00FD3539"/>
    <w:rsid w:val="212F4F7C"/>
    <w:rsid w:val="2664636F"/>
    <w:rsid w:val="51F1F8DD"/>
    <w:rsid w:val="53B43B1F"/>
    <w:rsid w:val="7718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654A"/>
  <w15:chartTrackingRefBased/>
  <w15:docId w15:val="{6F85FDF6-C691-4F21-8D3E-07CF4460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23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B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6B1238"/>
  </w:style>
  <w:style w:type="character" w:customStyle="1" w:styleId="eop">
    <w:name w:val="eop"/>
    <w:basedOn w:val="DefaultParagraphFont"/>
    <w:rsid w:val="006B1238"/>
  </w:style>
  <w:style w:type="table" w:styleId="TableGrid">
    <w:name w:val="Table Grid"/>
    <w:basedOn w:val="TableNormal"/>
    <w:uiPriority w:val="39"/>
    <w:rsid w:val="006B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4CB6618DD764B9439629E4015DDF3" ma:contentTypeVersion="14" ma:contentTypeDescription="Create a new document." ma:contentTypeScope="" ma:versionID="0733fda8cb2763702e496389e0df9966">
  <xsd:schema xmlns:xsd="http://www.w3.org/2001/XMLSchema" xmlns:xs="http://www.w3.org/2001/XMLSchema" xmlns:p="http://schemas.microsoft.com/office/2006/metadata/properties" xmlns:ns2="9898405a-8c7b-40be-ae2a-cd41b03aed83" xmlns:ns3="d178be91-42f5-47e4-a6af-363572687a5b" targetNamespace="http://schemas.microsoft.com/office/2006/metadata/properties" ma:root="true" ma:fieldsID="10f7643e54ce0447dfb01dd5e1bf78cc" ns2:_="" ns3:_="">
    <xsd:import namespace="9898405a-8c7b-40be-ae2a-cd41b03aed83"/>
    <xsd:import namespace="d178be91-42f5-47e4-a6af-363572687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405a-8c7b-40be-ae2a-cd41b03ae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be91-42f5-47e4-a6af-363572687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655c90-f976-4f54-9d42-bf30ce74efca}" ma:internalName="TaxCatchAll" ma:showField="CatchAllData" ma:web="d178be91-42f5-47e4-a6af-363572687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8be91-42f5-47e4-a6af-363572687a5b" xsi:nil="true"/>
    <lcf76f155ced4ddcb4097134ff3c332f xmlns="9898405a-8c7b-40be-ae2a-cd41b03aed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5067F-875C-420F-99FF-2E356E86E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8405a-8c7b-40be-ae2a-cd41b03aed83"/>
    <ds:schemaRef ds:uri="d178be91-42f5-47e4-a6af-363572687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4F4A4-C9A9-48EF-8872-0200E4647674}">
  <ds:schemaRefs>
    <ds:schemaRef ds:uri="http://schemas.microsoft.com/office/2006/metadata/properties"/>
    <ds:schemaRef ds:uri="http://schemas.microsoft.com/office/infopath/2007/PartnerControls"/>
    <ds:schemaRef ds:uri="d178be91-42f5-47e4-a6af-363572687a5b"/>
    <ds:schemaRef ds:uri="9898405a-8c7b-40be-ae2a-cd41b03aed83"/>
  </ds:schemaRefs>
</ds:datastoreItem>
</file>

<file path=customXml/itemProps3.xml><?xml version="1.0" encoding="utf-8"?>
<ds:datastoreItem xmlns:ds="http://schemas.openxmlformats.org/officeDocument/2006/customXml" ds:itemID="{EDB91CCD-21E6-4C01-84CB-C20E4A5AEF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Selīna Stepsone</dc:creator>
  <cp:keywords/>
  <dc:description/>
  <cp:lastModifiedBy>Juris Čehovičs</cp:lastModifiedBy>
  <cp:revision>6</cp:revision>
  <dcterms:created xsi:type="dcterms:W3CDTF">2025-01-24T11:01:00Z</dcterms:created>
  <dcterms:modified xsi:type="dcterms:W3CDTF">2025-05-26T08:12:00Z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0x010100E874CB6618DD764B9439629E4015DDF3</vt:lpwstr>
  </property>
  <property fmtid="{D5CDD505-2E9C-101B-9397-08002B2CF9AE}" pid="3" name="MediaServiceImageTags">
    <vt:lpwstr/>
  </property>
</Properties>
</file>