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A196" w14:textId="77777777" w:rsidR="00916413" w:rsidRPr="0010189C" w:rsidRDefault="00916413" w:rsidP="0010189C">
      <w:pPr>
        <w:spacing w:after="0" w:line="240" w:lineRule="auto"/>
        <w:outlineLvl w:val="0"/>
        <w:rPr>
          <w:rFonts w:ascii="Times New Roman" w:eastAsia="Times New Roman" w:hAnsi="Times New Roman" w:cs="Times New Roman"/>
          <w:b/>
          <w:bCs/>
          <w:kern w:val="36"/>
          <w:sz w:val="28"/>
          <w:szCs w:val="28"/>
          <w:lang w:eastAsia="lv-LV"/>
          <w14:ligatures w14:val="none"/>
        </w:rPr>
      </w:pPr>
      <w:r w:rsidRPr="0010189C">
        <w:rPr>
          <w:rFonts w:ascii="Times New Roman" w:eastAsia="Times New Roman" w:hAnsi="Times New Roman" w:cs="Times New Roman"/>
          <w:b/>
          <w:bCs/>
          <w:kern w:val="36"/>
          <w:sz w:val="28"/>
          <w:szCs w:val="28"/>
          <w:lang w:eastAsia="lv-LV"/>
          <w14:ligatures w14:val="none"/>
        </w:rPr>
        <w:t>Populārākie jautājumi par programmu</w:t>
      </w:r>
    </w:p>
    <w:p w14:paraId="6217AA47" w14:textId="2B78FE56" w:rsidR="00916413" w:rsidRDefault="00916413" w:rsidP="0010189C">
      <w:pPr>
        <w:spacing w:after="0" w:line="240" w:lineRule="auto"/>
        <w:rPr>
          <w:rFonts w:ascii="Times New Roman" w:eastAsia="Times New Roman" w:hAnsi="Times New Roman" w:cs="Times New Roman"/>
          <w:kern w:val="0"/>
          <w:sz w:val="28"/>
          <w:szCs w:val="28"/>
          <w:lang w:eastAsia="lv-LV"/>
          <w14:ligatures w14:val="none"/>
        </w:rPr>
      </w:pPr>
      <w:r w:rsidRPr="0010189C">
        <w:rPr>
          <w:rFonts w:ascii="Times New Roman" w:eastAsia="Times New Roman" w:hAnsi="Times New Roman" w:cs="Times New Roman"/>
          <w:b/>
          <w:bCs/>
          <w:kern w:val="0"/>
          <w:sz w:val="28"/>
          <w:szCs w:val="28"/>
          <w:lang w:eastAsia="lv-LV"/>
          <w14:ligatures w14:val="none"/>
        </w:rPr>
        <w:t>Atbalsts procesu digitalizācijai un mākslīgā intelekta risinājumiem</w:t>
      </w:r>
    </w:p>
    <w:p w14:paraId="3BF1BA54" w14:textId="77777777" w:rsidR="0010189C" w:rsidRPr="0010189C" w:rsidRDefault="0010189C" w:rsidP="0010189C">
      <w:pPr>
        <w:spacing w:after="0" w:line="240" w:lineRule="auto"/>
        <w:rPr>
          <w:rFonts w:ascii="Times New Roman" w:eastAsia="Times New Roman" w:hAnsi="Times New Roman" w:cs="Times New Roman"/>
          <w:kern w:val="0"/>
          <w:sz w:val="28"/>
          <w:szCs w:val="28"/>
          <w:lang w:eastAsia="lv-LV"/>
          <w14:ligatures w14:val="none"/>
        </w:rPr>
      </w:pPr>
    </w:p>
    <w:p w14:paraId="40EC41F4" w14:textId="164D05D4" w:rsidR="00916413" w:rsidRPr="007B5567" w:rsidRDefault="00916413" w:rsidP="0010189C">
      <w:pPr>
        <w:pStyle w:val="ListParagraph"/>
        <w:numPr>
          <w:ilvl w:val="0"/>
          <w:numId w:val="33"/>
        </w:numPr>
        <w:spacing w:after="0" w:line="240" w:lineRule="auto"/>
        <w:outlineLvl w:val="1"/>
        <w:rPr>
          <w:rFonts w:ascii="Times New Roman" w:eastAsia="Times New Roman" w:hAnsi="Times New Roman" w:cs="Times New Roman"/>
          <w:b/>
          <w:bCs/>
          <w:kern w:val="0"/>
          <w:lang w:eastAsia="lv-LV"/>
          <w14:ligatures w14:val="none"/>
        </w:rPr>
      </w:pPr>
      <w:r w:rsidRPr="007B5567">
        <w:rPr>
          <w:rFonts w:ascii="Times New Roman" w:eastAsia="Times New Roman" w:hAnsi="Times New Roman" w:cs="Times New Roman"/>
          <w:b/>
          <w:bCs/>
          <w:kern w:val="0"/>
          <w:lang w:eastAsia="lv-LV"/>
          <w14:ligatures w14:val="none"/>
        </w:rPr>
        <w:t>Pieteikšanās un atbilstība</w:t>
      </w:r>
    </w:p>
    <w:p w14:paraId="28671994" w14:textId="77777777" w:rsidR="007B5567" w:rsidRPr="007B5567" w:rsidRDefault="007B5567" w:rsidP="0010189C">
      <w:pPr>
        <w:pStyle w:val="ListParagraph"/>
        <w:spacing w:after="0" w:line="240" w:lineRule="auto"/>
        <w:outlineLvl w:val="1"/>
        <w:rPr>
          <w:rFonts w:ascii="Times New Roman" w:eastAsia="Times New Roman" w:hAnsi="Times New Roman" w:cs="Times New Roman"/>
          <w:b/>
          <w:bCs/>
          <w:kern w:val="0"/>
          <w:lang w:eastAsia="lv-LV"/>
          <w14:ligatures w14:val="none"/>
        </w:rPr>
      </w:pPr>
    </w:p>
    <w:p w14:paraId="3EF93A84" w14:textId="3A07509E" w:rsidR="007B5567"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1. Kas var pieteikties?</w:t>
      </w:r>
      <w:r w:rsidRPr="007B5567">
        <w:rPr>
          <w:rFonts w:ascii="Times New Roman" w:eastAsia="Times New Roman" w:hAnsi="Times New Roman" w:cs="Times New Roman"/>
          <w:kern w:val="0"/>
          <w:lang w:eastAsia="lv-LV"/>
          <w14:ligatures w14:val="none"/>
        </w:rPr>
        <w:br/>
        <w:t>Programma ir pieejama MVU, mazas un vidējas kapitalizācijas sabiedrībām, biedrībām un nodibinājumiem, kas apvieno vismaz trīs komersantus.</w:t>
      </w:r>
    </w:p>
    <w:p w14:paraId="0807DE49" w14:textId="77777777" w:rsidR="004805E0" w:rsidRPr="007B5567" w:rsidRDefault="004805E0" w:rsidP="0010189C">
      <w:pPr>
        <w:spacing w:after="0" w:line="240" w:lineRule="auto"/>
        <w:rPr>
          <w:rFonts w:ascii="Times New Roman" w:eastAsia="Times New Roman" w:hAnsi="Times New Roman" w:cs="Times New Roman"/>
          <w:kern w:val="0"/>
          <w:lang w:eastAsia="lv-LV"/>
          <w14:ligatures w14:val="none"/>
        </w:rPr>
      </w:pPr>
    </w:p>
    <w:p w14:paraId="38B1EFAE" w14:textId="6170FF92" w:rsidR="00916413" w:rsidRDefault="00916413" w:rsidP="0010189C">
      <w:pPr>
        <w:spacing w:after="0" w:line="240" w:lineRule="auto"/>
        <w:rPr>
          <w:rFonts w:ascii="Times New Roman" w:hAnsi="Times New Roman" w:cs="Times New Roman"/>
        </w:rPr>
      </w:pPr>
      <w:r w:rsidRPr="007B5567">
        <w:rPr>
          <w:rFonts w:ascii="Times New Roman" w:eastAsia="Times New Roman" w:hAnsi="Times New Roman" w:cs="Times New Roman"/>
          <w:b/>
          <w:bCs/>
          <w:kern w:val="0"/>
          <w:lang w:eastAsia="lv-LV"/>
          <w14:ligatures w14:val="none"/>
        </w:rPr>
        <w:t>2. Vai saistītie uzņēmumi var pieteikties paralēli?</w:t>
      </w:r>
      <w:r w:rsidRPr="007B5567">
        <w:rPr>
          <w:rFonts w:ascii="Times New Roman" w:eastAsia="Times New Roman" w:hAnsi="Times New Roman" w:cs="Times New Roman"/>
          <w:kern w:val="0"/>
          <w:lang w:eastAsia="lv-LV"/>
          <w14:ligatures w14:val="none"/>
        </w:rPr>
        <w:br/>
        <w:t xml:space="preserve">Jā, katrs saistītais uzņēmums var iesniegt savu pieteikumu paralēli, ņemot vērā de minimis atbalsta limitu 300 000 € </w:t>
      </w:r>
      <w:r w:rsidR="0009647C" w:rsidRPr="004805E0">
        <w:rPr>
          <w:rFonts w:ascii="Times New Roman" w:hAnsi="Times New Roman" w:cs="Times New Roman"/>
        </w:rPr>
        <w:t>vienam vienotam uzņēmumam Latvijā</w:t>
      </w:r>
      <w:r w:rsidR="002E7563">
        <w:rPr>
          <w:rFonts w:ascii="Times New Roman" w:hAnsi="Times New Roman" w:cs="Times New Roman"/>
        </w:rPr>
        <w:t>.</w:t>
      </w:r>
    </w:p>
    <w:p w14:paraId="34FA42B4" w14:textId="77777777" w:rsidR="004805E0" w:rsidRPr="007B5567" w:rsidRDefault="004805E0" w:rsidP="0010189C">
      <w:pPr>
        <w:spacing w:after="0" w:line="240" w:lineRule="auto"/>
        <w:rPr>
          <w:rFonts w:ascii="Times New Roman" w:eastAsia="Times New Roman" w:hAnsi="Times New Roman" w:cs="Times New Roman"/>
          <w:kern w:val="0"/>
          <w:lang w:eastAsia="lv-LV"/>
          <w14:ligatures w14:val="none"/>
        </w:rPr>
      </w:pPr>
    </w:p>
    <w:p w14:paraId="7430C149" w14:textId="2C6FF9EB" w:rsidR="004805E0"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3. Vai viens uzņēmums var iesniegt 2 projektus paralēli?</w:t>
      </w:r>
      <w:r w:rsidRPr="007B5567">
        <w:rPr>
          <w:rFonts w:ascii="Times New Roman" w:eastAsia="Times New Roman" w:hAnsi="Times New Roman" w:cs="Times New Roman"/>
          <w:kern w:val="0"/>
          <w:lang w:eastAsia="lv-LV"/>
          <w14:ligatures w14:val="none"/>
        </w:rPr>
        <w:br/>
        <w:t>Paralēli nevar pieteikt divus projektus. Vienu pabeidz, tad iesniedz maksājuma pieprasījumu, tad nākamo var iesniegt</w:t>
      </w:r>
      <w:r w:rsidR="000C3B5D">
        <w:rPr>
          <w:rFonts w:ascii="Times New Roman" w:eastAsia="Times New Roman" w:hAnsi="Times New Roman" w:cs="Times New Roman"/>
          <w:kern w:val="0"/>
          <w:lang w:eastAsia="lv-LV"/>
          <w14:ligatures w14:val="none"/>
        </w:rPr>
        <w:t>.</w:t>
      </w:r>
    </w:p>
    <w:p w14:paraId="38A0FF8F" w14:textId="77777777" w:rsidR="004805E0" w:rsidRDefault="004805E0" w:rsidP="0010189C">
      <w:pPr>
        <w:spacing w:after="0" w:line="240" w:lineRule="auto"/>
        <w:rPr>
          <w:rFonts w:ascii="Times New Roman" w:eastAsia="Times New Roman" w:hAnsi="Times New Roman" w:cs="Times New Roman"/>
          <w:kern w:val="0"/>
          <w:lang w:eastAsia="lv-LV"/>
          <w14:ligatures w14:val="none"/>
        </w:rPr>
      </w:pPr>
    </w:p>
    <w:p w14:paraId="71888464" w14:textId="27AB5D8D" w:rsidR="00916413"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4. Vai var pieteikties, ja jau saņemts atbalsts iepriekšējā digitalizācijas programmā?</w:t>
      </w:r>
      <w:r w:rsidRPr="007B5567">
        <w:rPr>
          <w:rFonts w:ascii="Times New Roman" w:eastAsia="Times New Roman" w:hAnsi="Times New Roman" w:cs="Times New Roman"/>
          <w:kern w:val="0"/>
          <w:lang w:eastAsia="lv-LV"/>
          <w14:ligatures w14:val="none"/>
        </w:rPr>
        <w:br/>
        <w:t>Jā, šī ir jauna ERAF programma, un iepriekšējie pieteikumi neietekmē. Taču nevar pieteikties tāda paša risinājuma ieviešanai, kas jau bijis iepriekš (jau ir ieviests komersanta darbībā).</w:t>
      </w:r>
    </w:p>
    <w:p w14:paraId="709F8C4F" w14:textId="77777777" w:rsidR="00E63F82" w:rsidRPr="007B5567" w:rsidRDefault="00E63F82" w:rsidP="0010189C">
      <w:pPr>
        <w:spacing w:after="0" w:line="240" w:lineRule="auto"/>
        <w:rPr>
          <w:rFonts w:ascii="Times New Roman" w:eastAsia="Times New Roman" w:hAnsi="Times New Roman" w:cs="Times New Roman"/>
          <w:kern w:val="0"/>
          <w:lang w:eastAsia="lv-LV"/>
          <w14:ligatures w14:val="none"/>
        </w:rPr>
      </w:pPr>
    </w:p>
    <w:p w14:paraId="1D4BF015" w14:textId="77777777" w:rsidR="00916413" w:rsidRPr="007B5567"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5. Vai lieli uzņēmumi var būt pieteikuma iesniedzēji?</w:t>
      </w:r>
      <w:r w:rsidRPr="007B5567">
        <w:rPr>
          <w:rFonts w:ascii="Times New Roman" w:eastAsia="Times New Roman" w:hAnsi="Times New Roman" w:cs="Times New Roman"/>
          <w:kern w:val="0"/>
          <w:lang w:eastAsia="lv-LV"/>
          <w14:ligatures w14:val="none"/>
        </w:rPr>
        <w:br/>
        <w:t>Lielie uzņēmumi nav gala labuma guvēji šajā programmā, izņemot:</w:t>
      </w:r>
    </w:p>
    <w:p w14:paraId="054623EF" w14:textId="77777777" w:rsidR="00916413" w:rsidRPr="007B5567" w:rsidRDefault="00916413" w:rsidP="0010189C">
      <w:pPr>
        <w:numPr>
          <w:ilvl w:val="0"/>
          <w:numId w:val="26"/>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Mazas vidējas kapitalizācijas sabiedrības – līdz 499 darbinieki kopā ar saistītajiem un kas nav MVU</w:t>
      </w:r>
    </w:p>
    <w:p w14:paraId="6EDD342E" w14:textId="77777777" w:rsidR="00916413" w:rsidRDefault="00916413" w:rsidP="0010189C">
      <w:pPr>
        <w:numPr>
          <w:ilvl w:val="0"/>
          <w:numId w:val="26"/>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Vidējās kapitalizācijas sabiedrības – līdz 3 000 darbinieki kopā ar saistītajiem un kas nav MVU vai mazas vidējas kapitalizācijas sabiedrības</w:t>
      </w:r>
    </w:p>
    <w:p w14:paraId="4A83C8BD" w14:textId="77777777" w:rsidR="00E63F82" w:rsidRPr="007B5567" w:rsidRDefault="00E63F82" w:rsidP="0010189C">
      <w:pPr>
        <w:spacing w:after="0" w:line="240" w:lineRule="auto"/>
        <w:ind w:left="720"/>
        <w:rPr>
          <w:rFonts w:ascii="Times New Roman" w:eastAsia="Times New Roman" w:hAnsi="Times New Roman" w:cs="Times New Roman"/>
          <w:kern w:val="0"/>
          <w:lang w:eastAsia="lv-LV"/>
          <w14:ligatures w14:val="none"/>
        </w:rPr>
      </w:pPr>
    </w:p>
    <w:p w14:paraId="3727B6EE" w14:textId="77777777" w:rsidR="00916413" w:rsidRPr="007B5567"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6. Kā aprēķinās atbalsta apjomu un kāda ir atbalsta intensitāte?</w:t>
      </w:r>
    </w:p>
    <w:p w14:paraId="09A1A9CC" w14:textId="77777777" w:rsidR="00916413" w:rsidRPr="007B5567" w:rsidRDefault="00916413" w:rsidP="0010189C">
      <w:pPr>
        <w:numPr>
          <w:ilvl w:val="0"/>
          <w:numId w:val="27"/>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Atbalsta intensitāte:</w:t>
      </w:r>
    </w:p>
    <w:p w14:paraId="19FBA8B7" w14:textId="77777777" w:rsidR="00916413" w:rsidRPr="007B5567" w:rsidRDefault="00916413" w:rsidP="0010189C">
      <w:pPr>
        <w:numPr>
          <w:ilvl w:val="1"/>
          <w:numId w:val="27"/>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50% – sīkais (mikro) un mazais komersants</w:t>
      </w:r>
    </w:p>
    <w:p w14:paraId="66843165" w14:textId="77777777" w:rsidR="00916413" w:rsidRPr="007B5567" w:rsidRDefault="00916413" w:rsidP="0010189C">
      <w:pPr>
        <w:numPr>
          <w:ilvl w:val="1"/>
          <w:numId w:val="27"/>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40% – vidējais komersants</w:t>
      </w:r>
    </w:p>
    <w:p w14:paraId="7867E361" w14:textId="77777777" w:rsidR="00916413" w:rsidRPr="007B5567" w:rsidRDefault="00916413" w:rsidP="0010189C">
      <w:pPr>
        <w:numPr>
          <w:ilvl w:val="1"/>
          <w:numId w:val="27"/>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30% – mazas vidējas un vidējas kapitalizācijas sabiedrības</w:t>
      </w:r>
    </w:p>
    <w:p w14:paraId="448AEB76" w14:textId="77777777" w:rsidR="00916413" w:rsidRPr="007B5567" w:rsidRDefault="00916413" w:rsidP="0010189C">
      <w:pPr>
        <w:numPr>
          <w:ilvl w:val="0"/>
          <w:numId w:val="27"/>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Atbalsta apjoms (finansējums) tiek aprēķināts no attiecināmajām izmaksām.</w:t>
      </w:r>
    </w:p>
    <w:p w14:paraId="2077E503" w14:textId="77777777" w:rsidR="00916413" w:rsidRDefault="00916413" w:rsidP="0010189C">
      <w:pPr>
        <w:numPr>
          <w:ilvl w:val="0"/>
          <w:numId w:val="27"/>
        </w:num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kern w:val="0"/>
          <w:lang w:eastAsia="lv-LV"/>
          <w14:ligatures w14:val="none"/>
        </w:rPr>
        <w:t>PVN ir attiecināms tikai tad, ja tas nav atgūstams atbilstoši normatīvajiem aktiem.</w:t>
      </w:r>
    </w:p>
    <w:p w14:paraId="1B4C9233" w14:textId="77777777" w:rsidR="00E63F82" w:rsidRPr="007B5567" w:rsidRDefault="00E63F82" w:rsidP="0010189C">
      <w:pPr>
        <w:spacing w:after="0" w:line="240" w:lineRule="auto"/>
        <w:ind w:left="720"/>
        <w:rPr>
          <w:rFonts w:ascii="Times New Roman" w:eastAsia="Times New Roman" w:hAnsi="Times New Roman" w:cs="Times New Roman"/>
          <w:kern w:val="0"/>
          <w:lang w:eastAsia="lv-LV"/>
          <w14:ligatures w14:val="none"/>
        </w:rPr>
      </w:pPr>
    </w:p>
    <w:p w14:paraId="32996115" w14:textId="77777777" w:rsidR="00916413" w:rsidRPr="007B5567"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7. Vai vienam projektam ir maksimālais finansējuma apjoms?</w:t>
      </w:r>
    </w:p>
    <w:p w14:paraId="412E36EC" w14:textId="5A62F07B" w:rsidR="00916413" w:rsidRPr="00835C12" w:rsidRDefault="00916413" w:rsidP="0010189C">
      <w:pPr>
        <w:numPr>
          <w:ilvl w:val="0"/>
          <w:numId w:val="28"/>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Bez mākslīgā intelekta risinājumiem: maksimālais atbalsts (finansējums) līdz 10 000 €</w:t>
      </w:r>
      <w:r w:rsidR="003557A1">
        <w:rPr>
          <w:rFonts w:ascii="Times New Roman" w:eastAsia="Times New Roman" w:hAnsi="Times New Roman" w:cs="Times New Roman"/>
          <w:kern w:val="0"/>
          <w:lang w:eastAsia="lv-LV"/>
          <w14:ligatures w14:val="none"/>
        </w:rPr>
        <w:t>.</w:t>
      </w:r>
    </w:p>
    <w:p w14:paraId="24FDE2D6" w14:textId="0CB03FBB" w:rsidR="00916413" w:rsidRPr="00835C12" w:rsidRDefault="00916413" w:rsidP="0010189C">
      <w:pPr>
        <w:numPr>
          <w:ilvl w:val="0"/>
          <w:numId w:val="28"/>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Ar mākslīgā intelekta risinājumiem: maksimālais atbalsts (finansējums) līdz 200 000 €</w:t>
      </w:r>
      <w:r w:rsidR="003557A1">
        <w:rPr>
          <w:rFonts w:ascii="Times New Roman" w:eastAsia="Times New Roman" w:hAnsi="Times New Roman" w:cs="Times New Roman"/>
          <w:kern w:val="0"/>
          <w:lang w:eastAsia="lv-LV"/>
          <w14:ligatures w14:val="none"/>
        </w:rPr>
        <w:t>.</w:t>
      </w:r>
    </w:p>
    <w:p w14:paraId="5BBCEE49" w14:textId="77777777" w:rsidR="00E63F82" w:rsidRPr="00835C12" w:rsidRDefault="00E63F82" w:rsidP="0010189C">
      <w:pPr>
        <w:spacing w:after="0" w:line="240" w:lineRule="auto"/>
        <w:ind w:left="720"/>
        <w:rPr>
          <w:rFonts w:ascii="Times New Roman" w:eastAsia="Times New Roman" w:hAnsi="Times New Roman" w:cs="Times New Roman"/>
          <w:kern w:val="0"/>
          <w:lang w:eastAsia="lv-LV"/>
          <w14:ligatures w14:val="none"/>
        </w:rPr>
      </w:pPr>
    </w:p>
    <w:p w14:paraId="3AF4032F" w14:textId="77777777"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8. Vai šajā programmā var izstrādāt jaunu produktu komercializēšanai?</w:t>
      </w:r>
      <w:r w:rsidRPr="00835C12">
        <w:rPr>
          <w:rFonts w:ascii="Times New Roman" w:eastAsia="Times New Roman" w:hAnsi="Times New Roman" w:cs="Times New Roman"/>
          <w:kern w:val="0"/>
          <w:lang w:eastAsia="lv-LV"/>
          <w14:ligatures w14:val="none"/>
        </w:rPr>
        <w:br/>
        <w:t>Nē, šī programma paredzēta savu iekšējo procesu digitalizācijai. Jaunu produktu izstrādei paredzētas citas LIAA programmas: Inovāciju vaučeru atbalsts, Biznesa inkubācijas atbalsts, Jaunuzņēmumu atbalsts.</w:t>
      </w:r>
    </w:p>
    <w:p w14:paraId="0F0D0381" w14:textId="77777777" w:rsidR="00E63F82" w:rsidRPr="00835C12" w:rsidRDefault="00E63F82" w:rsidP="0010189C">
      <w:pPr>
        <w:spacing w:after="0" w:line="240" w:lineRule="auto"/>
        <w:rPr>
          <w:rFonts w:ascii="Times New Roman" w:eastAsia="Times New Roman" w:hAnsi="Times New Roman" w:cs="Times New Roman"/>
          <w:kern w:val="0"/>
          <w:lang w:eastAsia="lv-LV"/>
          <w14:ligatures w14:val="none"/>
        </w:rPr>
      </w:pPr>
    </w:p>
    <w:p w14:paraId="3E2AFAF1" w14:textId="77777777"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9. Kādas izmaksas var segt, ja projekta granta apjoms ir līdz 10 000 €?</w:t>
      </w:r>
    </w:p>
    <w:p w14:paraId="45A8D162" w14:textId="182AF402" w:rsidR="004B69CE" w:rsidRPr="00835C12" w:rsidRDefault="004B69CE" w:rsidP="0010189C">
      <w:pPr>
        <w:numPr>
          <w:ilvl w:val="0"/>
          <w:numId w:val="31"/>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gatavo risinājumu, aparatūras, sensoru, iekārtu, programmatūras un informācijas tehnoloģiju infrastruktūras izmaksas, uzstādīšanas, pielāgošanas, kā arī ar tām saistīto konsultāciju izmaksas</w:t>
      </w:r>
    </w:p>
    <w:p w14:paraId="7875656E" w14:textId="1923EB22" w:rsidR="004B69CE" w:rsidRPr="00835C12" w:rsidRDefault="004B69CE" w:rsidP="0010189C">
      <w:pPr>
        <w:numPr>
          <w:ilvl w:val="0"/>
          <w:numId w:val="31"/>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jaunu risinājumu izstrādes izmaksas</w:t>
      </w:r>
    </w:p>
    <w:p w14:paraId="4AC11C14" w14:textId="109CC06D" w:rsidR="004B69CE" w:rsidRPr="00835C12" w:rsidRDefault="004B69CE" w:rsidP="0010189C">
      <w:pPr>
        <w:numPr>
          <w:ilvl w:val="0"/>
          <w:numId w:val="31"/>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lastRenderedPageBreak/>
        <w:t>licences iegādes vai abonēšanas un sertificēšanas izmaksas</w:t>
      </w:r>
      <w:r w:rsidR="006A2D67">
        <w:rPr>
          <w:rFonts w:ascii="Times New Roman" w:eastAsia="Times New Roman" w:hAnsi="Times New Roman" w:cs="Times New Roman"/>
          <w:kern w:val="0"/>
          <w:lang w:eastAsia="lv-LV"/>
          <w14:ligatures w14:val="none"/>
        </w:rPr>
        <w:t>.</w:t>
      </w:r>
    </w:p>
    <w:p w14:paraId="6032E016" w14:textId="77777777" w:rsidR="00E63F82" w:rsidRPr="00835C12" w:rsidRDefault="00E63F82" w:rsidP="0010189C">
      <w:pPr>
        <w:spacing w:after="0" w:line="240" w:lineRule="auto"/>
        <w:ind w:left="720"/>
        <w:rPr>
          <w:rFonts w:ascii="Times New Roman" w:eastAsia="Times New Roman" w:hAnsi="Times New Roman" w:cs="Times New Roman"/>
          <w:kern w:val="0"/>
          <w:lang w:eastAsia="lv-LV"/>
          <w14:ligatures w14:val="none"/>
        </w:rPr>
      </w:pPr>
    </w:p>
    <w:p w14:paraId="38DC2EF1" w14:textId="77777777"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10. Kāds ir licences un abonēšanas izmaksu termiņš atbalstītajos projektos?</w:t>
      </w:r>
    </w:p>
    <w:p w14:paraId="72019EDA" w14:textId="77777777" w:rsidR="00916413" w:rsidRPr="00835C12" w:rsidRDefault="00916413" w:rsidP="0010189C">
      <w:pPr>
        <w:numPr>
          <w:ilvl w:val="0"/>
          <w:numId w:val="30"/>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Licences un abonēšanas izmaksas ir attiecināmas tikai uz projekta īstenošanas laiku:</w:t>
      </w:r>
    </w:p>
    <w:p w14:paraId="43380017" w14:textId="77777777" w:rsidR="00916413" w:rsidRPr="00835C12" w:rsidRDefault="00916413" w:rsidP="0010189C">
      <w:pPr>
        <w:numPr>
          <w:ilvl w:val="1"/>
          <w:numId w:val="30"/>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Grantiem līdz 10 000 € – līdz 12 mēnešiem</w:t>
      </w:r>
    </w:p>
    <w:p w14:paraId="5668459A" w14:textId="77777777" w:rsidR="00916413" w:rsidRPr="00835C12" w:rsidRDefault="00916413" w:rsidP="0010189C">
      <w:pPr>
        <w:numPr>
          <w:ilvl w:val="1"/>
          <w:numId w:val="30"/>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Grantiem līdz 200 000 € – līdz 24 mēnešiem</w:t>
      </w:r>
    </w:p>
    <w:p w14:paraId="7942F737" w14:textId="77777777" w:rsidR="00916413" w:rsidRPr="00835C12" w:rsidRDefault="00916413" w:rsidP="0010189C">
      <w:pPr>
        <w:numPr>
          <w:ilvl w:val="0"/>
          <w:numId w:val="30"/>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Maksājuma pieprasījumu var iesniegt tikai pēc licences/abonēšanas termiņa beigām.</w:t>
      </w:r>
    </w:p>
    <w:p w14:paraId="0FAE78EE" w14:textId="77777777" w:rsidR="00E63F82" w:rsidRPr="00835C12" w:rsidRDefault="00E63F82" w:rsidP="0010189C">
      <w:pPr>
        <w:spacing w:after="0" w:line="240" w:lineRule="auto"/>
        <w:ind w:left="720"/>
        <w:rPr>
          <w:rFonts w:ascii="Times New Roman" w:eastAsia="Times New Roman" w:hAnsi="Times New Roman" w:cs="Times New Roman"/>
          <w:kern w:val="0"/>
          <w:lang w:eastAsia="lv-LV"/>
          <w14:ligatures w14:val="none"/>
        </w:rPr>
      </w:pPr>
    </w:p>
    <w:p w14:paraId="1912E3C2" w14:textId="4B4784E0"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11. Vai 10 000 € un 200 000 € ir atbalsta summa</w:t>
      </w:r>
      <w:r w:rsidR="00C4134E">
        <w:rPr>
          <w:rFonts w:ascii="Times New Roman" w:eastAsia="Times New Roman" w:hAnsi="Times New Roman" w:cs="Times New Roman"/>
          <w:b/>
          <w:bCs/>
          <w:kern w:val="0"/>
          <w:lang w:eastAsia="lv-LV"/>
          <w14:ligatures w14:val="none"/>
        </w:rPr>
        <w:t>, ko LIAA izmaksā</w:t>
      </w:r>
      <w:r w:rsidRPr="00835C12">
        <w:rPr>
          <w:rFonts w:ascii="Times New Roman" w:eastAsia="Times New Roman" w:hAnsi="Times New Roman" w:cs="Times New Roman"/>
          <w:b/>
          <w:bCs/>
          <w:kern w:val="0"/>
          <w:lang w:eastAsia="lv-LV"/>
          <w14:ligatures w14:val="none"/>
        </w:rPr>
        <w:t>?</w:t>
      </w:r>
    </w:p>
    <w:p w14:paraId="04B836D0" w14:textId="32EE274F" w:rsidR="00916413" w:rsidRPr="00835C12" w:rsidRDefault="00916413" w:rsidP="0010189C">
      <w:pPr>
        <w:numPr>
          <w:ilvl w:val="0"/>
          <w:numId w:val="31"/>
        </w:num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Šīs summas ir maksimālais atbalsta apjoms (finansējums), ko var saņemt</w:t>
      </w:r>
      <w:r w:rsidR="00C4134E">
        <w:rPr>
          <w:rFonts w:ascii="Times New Roman" w:eastAsia="Times New Roman" w:hAnsi="Times New Roman" w:cs="Times New Roman"/>
          <w:kern w:val="0"/>
          <w:lang w:eastAsia="lv-LV"/>
          <w14:ligatures w14:val="none"/>
        </w:rPr>
        <w:t xml:space="preserve"> vienam</w:t>
      </w:r>
      <w:r w:rsidRPr="00835C12">
        <w:rPr>
          <w:rFonts w:ascii="Times New Roman" w:eastAsia="Times New Roman" w:hAnsi="Times New Roman" w:cs="Times New Roman"/>
          <w:kern w:val="0"/>
          <w:lang w:eastAsia="lv-LV"/>
          <w14:ligatures w14:val="none"/>
        </w:rPr>
        <w:t xml:space="preserve"> projektam</w:t>
      </w:r>
      <w:r w:rsidR="003557A1">
        <w:rPr>
          <w:rFonts w:ascii="Times New Roman" w:eastAsia="Times New Roman" w:hAnsi="Times New Roman" w:cs="Times New Roman"/>
          <w:kern w:val="0"/>
          <w:lang w:eastAsia="lv-LV"/>
          <w14:ligatures w14:val="none"/>
        </w:rPr>
        <w:t>.</w:t>
      </w:r>
    </w:p>
    <w:p w14:paraId="30CF9E2E" w14:textId="0FAAB47A" w:rsidR="000E5B01" w:rsidRPr="00835C12" w:rsidRDefault="000E5B01" w:rsidP="0010189C">
      <w:pPr>
        <w:numPr>
          <w:ilvl w:val="0"/>
          <w:numId w:val="31"/>
        </w:numPr>
        <w:spacing w:after="0" w:line="240" w:lineRule="auto"/>
        <w:rPr>
          <w:rFonts w:ascii="Times New Roman" w:eastAsia="Times New Roman" w:hAnsi="Times New Roman" w:cs="Times New Roman"/>
          <w:kern w:val="0"/>
          <w:lang w:eastAsia="lv-LV"/>
          <w14:ligatures w14:val="none"/>
        </w:rPr>
      </w:pPr>
      <w:r w:rsidRPr="00835C12">
        <w:rPr>
          <w:rFonts w:ascii="Times New Roman" w:hAnsi="Times New Roman" w:cs="Times New Roman"/>
          <w:b/>
          <w:bCs/>
        </w:rPr>
        <w:t>Piemērs:</w:t>
      </w:r>
      <w:r w:rsidRPr="00835C12">
        <w:rPr>
          <w:rFonts w:ascii="Times New Roman" w:hAnsi="Times New Roman" w:cs="Times New Roman"/>
        </w:rPr>
        <w:t xml:space="preserve"> ja projekta atbalstāmās izmaksas ir 14 000 € un atbalsta intensitāte ir 50%, tad finansējums būs 7 000 €</w:t>
      </w:r>
      <w:r w:rsidR="007B5567" w:rsidRPr="00835C12">
        <w:rPr>
          <w:rFonts w:ascii="Times New Roman" w:hAnsi="Times New Roman" w:cs="Times New Roman"/>
        </w:rPr>
        <w:t>.</w:t>
      </w:r>
    </w:p>
    <w:p w14:paraId="4E787D21" w14:textId="77777777" w:rsidR="00E63F82" w:rsidRPr="00835C12" w:rsidRDefault="00E63F82" w:rsidP="0010189C">
      <w:pPr>
        <w:spacing w:after="0" w:line="240" w:lineRule="auto"/>
        <w:ind w:left="720"/>
        <w:rPr>
          <w:rFonts w:ascii="Times New Roman" w:eastAsia="Times New Roman" w:hAnsi="Times New Roman" w:cs="Times New Roman"/>
          <w:kern w:val="0"/>
          <w:lang w:eastAsia="lv-LV"/>
          <w14:ligatures w14:val="none"/>
        </w:rPr>
      </w:pPr>
    </w:p>
    <w:p w14:paraId="7C0F5BBC" w14:textId="77777777"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12. Vai nepieciešama ceļa karte, lai pieteiktos atbalstam?</w:t>
      </w:r>
      <w:r w:rsidRPr="00835C12">
        <w:rPr>
          <w:rFonts w:ascii="Times New Roman" w:eastAsia="Times New Roman" w:hAnsi="Times New Roman" w:cs="Times New Roman"/>
          <w:kern w:val="0"/>
          <w:lang w:eastAsia="lv-LV"/>
          <w14:ligatures w14:val="none"/>
        </w:rPr>
        <w:br/>
        <w:t>Šajā programmā nav nosacījuma, ka nepieciešama ceļa karte no EDIC (Eiropas Digitālās inovācijas centrs). Komersanti var izmantot jau iegūtās EDIC ceļa kartes un, sniedzot pieteikumu, tās pievienot.</w:t>
      </w:r>
    </w:p>
    <w:p w14:paraId="743F41CA" w14:textId="77777777" w:rsidR="00916413" w:rsidRPr="00835C12" w:rsidRDefault="00000000"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pict w14:anchorId="737588E3">
          <v:rect id="_x0000_i1027" style="width:0;height:1.5pt" o:hralign="center" o:hrstd="t" o:hr="t" fillcolor="#a0a0a0" stroked="f"/>
        </w:pict>
      </w:r>
    </w:p>
    <w:p w14:paraId="39CBE462" w14:textId="03746D43" w:rsidR="00916413" w:rsidRPr="00835C12" w:rsidRDefault="00916413" w:rsidP="0010189C">
      <w:pPr>
        <w:pStyle w:val="ListParagraph"/>
        <w:numPr>
          <w:ilvl w:val="0"/>
          <w:numId w:val="33"/>
        </w:numPr>
        <w:spacing w:after="0" w:line="240" w:lineRule="auto"/>
        <w:outlineLvl w:val="1"/>
        <w:rPr>
          <w:rFonts w:ascii="Times New Roman" w:eastAsia="Times New Roman" w:hAnsi="Times New Roman" w:cs="Times New Roman"/>
          <w:b/>
          <w:bCs/>
          <w:kern w:val="0"/>
          <w:lang w:eastAsia="lv-LV"/>
          <w14:ligatures w14:val="none"/>
        </w:rPr>
      </w:pPr>
      <w:r w:rsidRPr="00835C12">
        <w:rPr>
          <w:rFonts w:ascii="Times New Roman" w:eastAsia="Times New Roman" w:hAnsi="Times New Roman" w:cs="Times New Roman"/>
          <w:b/>
          <w:bCs/>
          <w:kern w:val="0"/>
          <w:lang w:eastAsia="lv-LV"/>
          <w14:ligatures w14:val="none"/>
        </w:rPr>
        <w:t>Projekta iesniegšana</w:t>
      </w:r>
    </w:p>
    <w:p w14:paraId="755971EC" w14:textId="77777777" w:rsidR="00E63F82" w:rsidRPr="00835C12" w:rsidRDefault="00E63F82" w:rsidP="0010189C">
      <w:pPr>
        <w:pStyle w:val="ListParagraph"/>
        <w:spacing w:after="0" w:line="240" w:lineRule="auto"/>
        <w:outlineLvl w:val="1"/>
        <w:rPr>
          <w:rFonts w:ascii="Times New Roman" w:eastAsia="Times New Roman" w:hAnsi="Times New Roman" w:cs="Times New Roman"/>
          <w:b/>
          <w:bCs/>
          <w:kern w:val="0"/>
          <w:lang w:eastAsia="lv-LV"/>
          <w14:ligatures w14:val="none"/>
        </w:rPr>
      </w:pPr>
    </w:p>
    <w:p w14:paraId="5E056322" w14:textId="50F18595"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13. Kā notiek pieteikšanās?</w:t>
      </w:r>
      <w:r w:rsidRPr="00835C12">
        <w:rPr>
          <w:rFonts w:ascii="Times New Roman" w:eastAsia="Times New Roman" w:hAnsi="Times New Roman" w:cs="Times New Roman"/>
          <w:kern w:val="0"/>
          <w:lang w:eastAsia="lv-LV"/>
          <w14:ligatures w14:val="none"/>
        </w:rPr>
        <w:br/>
      </w:r>
      <w:r w:rsidR="001021E8" w:rsidRPr="00835C12">
        <w:rPr>
          <w:rFonts w:ascii="Times New Roman" w:eastAsia="Times New Roman" w:hAnsi="Times New Roman" w:cs="Times New Roman"/>
          <w:kern w:val="0"/>
          <w:lang w:eastAsia="lv-LV"/>
          <w14:ligatures w14:val="none"/>
        </w:rPr>
        <w:t xml:space="preserve">Pieteikums jāiesniedz caur </w:t>
      </w:r>
      <w:r w:rsidR="001021E8" w:rsidRPr="00835C12">
        <w:rPr>
          <w:rFonts w:ascii="Times New Roman" w:eastAsia="Times New Roman" w:hAnsi="Times New Roman" w:cs="Times New Roman"/>
          <w:b/>
          <w:bCs/>
          <w:kern w:val="0"/>
          <w:lang w:eastAsia="lv-LV"/>
          <w14:ligatures w14:val="none"/>
        </w:rPr>
        <w:t>business.gov.lv</w:t>
      </w:r>
      <w:r w:rsidR="001021E8" w:rsidRPr="00835C12">
        <w:rPr>
          <w:rFonts w:ascii="Times New Roman" w:eastAsia="Times New Roman" w:hAnsi="Times New Roman" w:cs="Times New Roman"/>
          <w:kern w:val="0"/>
          <w:lang w:eastAsia="lv-LV"/>
          <w14:ligatures w14:val="none"/>
        </w:rPr>
        <w:t>, iepriekš veicot līgumcenas priekšizpēti ar vismaz 3 pretendentiem</w:t>
      </w:r>
      <w:r w:rsidR="00614237">
        <w:rPr>
          <w:rFonts w:ascii="Times New Roman" w:eastAsia="Times New Roman" w:hAnsi="Times New Roman" w:cs="Times New Roman"/>
          <w:kern w:val="0"/>
          <w:lang w:eastAsia="lv-LV"/>
          <w14:ligatures w14:val="none"/>
        </w:rPr>
        <w:t xml:space="preserve">, kā arī </w:t>
      </w:r>
      <w:r w:rsidR="00B62EE9">
        <w:rPr>
          <w:rFonts w:ascii="Times New Roman" w:eastAsia="Times New Roman" w:hAnsi="Times New Roman" w:cs="Times New Roman"/>
          <w:kern w:val="0"/>
          <w:lang w:eastAsia="lv-LV"/>
          <w14:ligatures w14:val="none"/>
        </w:rPr>
        <w:t xml:space="preserve">nomaksājot </w:t>
      </w:r>
      <w:r w:rsidR="001021E8" w:rsidRPr="00835C12">
        <w:rPr>
          <w:rFonts w:ascii="Times New Roman" w:eastAsia="Times New Roman" w:hAnsi="Times New Roman" w:cs="Times New Roman"/>
          <w:kern w:val="0"/>
          <w:lang w:eastAsia="lv-LV"/>
          <w14:ligatures w14:val="none"/>
        </w:rPr>
        <w:t>nodokļ</w:t>
      </w:r>
      <w:r w:rsidR="00B62EE9">
        <w:rPr>
          <w:rFonts w:ascii="Times New Roman" w:eastAsia="Times New Roman" w:hAnsi="Times New Roman" w:cs="Times New Roman"/>
          <w:kern w:val="0"/>
          <w:lang w:eastAsia="lv-LV"/>
          <w14:ligatures w14:val="none"/>
        </w:rPr>
        <w:t>us</w:t>
      </w:r>
      <w:r w:rsidR="001021E8" w:rsidRPr="00835C12">
        <w:rPr>
          <w:rFonts w:ascii="Times New Roman" w:eastAsia="Times New Roman" w:hAnsi="Times New Roman" w:cs="Times New Roman"/>
          <w:kern w:val="0"/>
          <w:lang w:eastAsia="lv-LV"/>
          <w14:ligatures w14:val="none"/>
        </w:rPr>
        <w:t>. Jāņem vērā, ka nodokļu segšana parasti tiek veikta 1–2 darba dienu laikā pēc maksājuma saņemšanas, savukārt informācija par nodokļu nomaksu VID administrēto nodokļu un nodevu parādnieku datubāzē tiek publiskota divu darba dienu laikā pēc nodokļu segšanas</w:t>
      </w:r>
      <w:r w:rsidR="00B62EE9">
        <w:rPr>
          <w:rFonts w:ascii="Times New Roman" w:eastAsia="Times New Roman" w:hAnsi="Times New Roman" w:cs="Times New Roman"/>
          <w:kern w:val="0"/>
          <w:lang w:eastAsia="lv-LV"/>
          <w14:ligatures w14:val="none"/>
        </w:rPr>
        <w:t>.</w:t>
      </w:r>
    </w:p>
    <w:p w14:paraId="331E31B5" w14:textId="77777777" w:rsidR="001021E8" w:rsidRPr="00835C12" w:rsidRDefault="001021E8" w:rsidP="0010189C">
      <w:pPr>
        <w:spacing w:after="0" w:line="240" w:lineRule="auto"/>
        <w:rPr>
          <w:rFonts w:ascii="Times New Roman" w:eastAsia="Times New Roman" w:hAnsi="Times New Roman" w:cs="Times New Roman"/>
          <w:kern w:val="0"/>
          <w:lang w:eastAsia="lv-LV"/>
          <w14:ligatures w14:val="none"/>
        </w:rPr>
      </w:pPr>
    </w:p>
    <w:p w14:paraId="0FB8FFE6" w14:textId="77777777" w:rsidR="00916413" w:rsidRPr="00835C12" w:rsidRDefault="00916413" w:rsidP="0010189C">
      <w:pPr>
        <w:spacing w:after="0" w:line="240" w:lineRule="auto"/>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b/>
          <w:bCs/>
          <w:kern w:val="0"/>
          <w:lang w:eastAsia="lv-LV"/>
          <w14:ligatures w14:val="none"/>
        </w:rPr>
        <w:t>14. No kura brīža projekta izmaksas ir attiecināmas?</w:t>
      </w:r>
    </w:p>
    <w:p w14:paraId="4F446AD8" w14:textId="51C4E48E" w:rsidR="009B3C6A" w:rsidRPr="00835C12" w:rsidRDefault="009B3C6A" w:rsidP="0010189C">
      <w:pPr>
        <w:numPr>
          <w:ilvl w:val="0"/>
          <w:numId w:val="14"/>
        </w:numPr>
        <w:spacing w:after="0" w:line="240" w:lineRule="auto"/>
        <w:ind w:left="714" w:hanging="357"/>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Izmaksas ir attiecināmas no pieteikuma iesniegšanas dienas LIAA</w:t>
      </w:r>
      <w:r w:rsidR="0010189C">
        <w:rPr>
          <w:rFonts w:ascii="Times New Roman" w:eastAsia="Times New Roman" w:hAnsi="Times New Roman" w:cs="Times New Roman"/>
          <w:kern w:val="0"/>
          <w:lang w:eastAsia="lv-LV"/>
          <w14:ligatures w14:val="none"/>
        </w:rPr>
        <w:t>.</w:t>
      </w:r>
    </w:p>
    <w:p w14:paraId="0EC3B9B6" w14:textId="0980F52B" w:rsidR="009B3C6A" w:rsidRPr="00E63F82" w:rsidRDefault="009B3C6A" w:rsidP="0010189C">
      <w:pPr>
        <w:numPr>
          <w:ilvl w:val="0"/>
          <w:numId w:val="14"/>
        </w:numPr>
        <w:spacing w:after="0" w:line="240" w:lineRule="auto"/>
        <w:ind w:left="714" w:hanging="357"/>
        <w:rPr>
          <w:rFonts w:ascii="Times New Roman" w:eastAsia="Times New Roman" w:hAnsi="Times New Roman" w:cs="Times New Roman"/>
          <w:kern w:val="0"/>
          <w:lang w:eastAsia="lv-LV"/>
          <w14:ligatures w14:val="none"/>
        </w:rPr>
      </w:pPr>
      <w:r w:rsidRPr="00835C12">
        <w:rPr>
          <w:rFonts w:ascii="Times New Roman" w:eastAsia="Times New Roman" w:hAnsi="Times New Roman" w:cs="Times New Roman"/>
          <w:kern w:val="0"/>
          <w:lang w:eastAsia="lv-LV"/>
          <w14:ligatures w14:val="none"/>
        </w:rPr>
        <w:t>Visas izmaksas par projekta darbībām, kas</w:t>
      </w:r>
      <w:r w:rsidRPr="00E63F82">
        <w:rPr>
          <w:rFonts w:ascii="Times New Roman" w:eastAsia="Times New Roman" w:hAnsi="Times New Roman" w:cs="Times New Roman"/>
          <w:kern w:val="0"/>
          <w:lang w:eastAsia="lv-LV"/>
          <w14:ligatures w14:val="none"/>
        </w:rPr>
        <w:t xml:space="preserve"> veiktas pirms pieteikuma iesniegšanas, nav attiecināmas</w:t>
      </w:r>
      <w:r w:rsidR="0010189C">
        <w:rPr>
          <w:rFonts w:ascii="Times New Roman" w:eastAsia="Times New Roman" w:hAnsi="Times New Roman" w:cs="Times New Roman"/>
          <w:kern w:val="0"/>
          <w:lang w:eastAsia="lv-LV"/>
          <w14:ligatures w14:val="none"/>
        </w:rPr>
        <w:t>.</w:t>
      </w:r>
    </w:p>
    <w:p w14:paraId="05B83B69" w14:textId="334A18B0" w:rsidR="009B3C6A" w:rsidRPr="00E63F82" w:rsidRDefault="009B3C6A" w:rsidP="0010189C">
      <w:pPr>
        <w:numPr>
          <w:ilvl w:val="0"/>
          <w:numId w:val="14"/>
        </w:numPr>
        <w:spacing w:after="0" w:line="240" w:lineRule="auto"/>
        <w:ind w:left="714" w:hanging="357"/>
        <w:rPr>
          <w:rFonts w:ascii="Times New Roman" w:eastAsia="Times New Roman" w:hAnsi="Times New Roman" w:cs="Times New Roman"/>
          <w:kern w:val="0"/>
          <w:lang w:eastAsia="lv-LV"/>
          <w14:ligatures w14:val="none"/>
        </w:rPr>
      </w:pPr>
      <w:r w:rsidRPr="00E63F82">
        <w:rPr>
          <w:rFonts w:ascii="Times New Roman" w:eastAsia="Times New Roman" w:hAnsi="Times New Roman" w:cs="Times New Roman"/>
          <w:kern w:val="0"/>
          <w:lang w:eastAsia="lv-LV"/>
          <w14:ligatures w14:val="none"/>
        </w:rPr>
        <w:t>Darbības, tai skaitā maksājumi, nevar būt pabeigtas pirms līguma noslēgšanas ar LIAA</w:t>
      </w:r>
      <w:r w:rsidR="0010189C">
        <w:rPr>
          <w:rFonts w:ascii="Times New Roman" w:eastAsia="Times New Roman" w:hAnsi="Times New Roman" w:cs="Times New Roman"/>
          <w:kern w:val="0"/>
          <w:lang w:eastAsia="lv-LV"/>
          <w14:ligatures w14:val="none"/>
        </w:rPr>
        <w:t>.</w:t>
      </w:r>
    </w:p>
    <w:p w14:paraId="07CBD8C8" w14:textId="3CA1D5E7" w:rsidR="009B3C6A" w:rsidRPr="00E63F82" w:rsidRDefault="009B3C6A" w:rsidP="0010189C">
      <w:pPr>
        <w:numPr>
          <w:ilvl w:val="0"/>
          <w:numId w:val="14"/>
        </w:numPr>
        <w:spacing w:after="0" w:line="240" w:lineRule="auto"/>
        <w:ind w:left="714" w:hanging="357"/>
        <w:rPr>
          <w:rFonts w:ascii="Times New Roman" w:eastAsia="Times New Roman" w:hAnsi="Times New Roman" w:cs="Times New Roman"/>
          <w:kern w:val="0"/>
          <w:lang w:eastAsia="lv-LV"/>
          <w14:ligatures w14:val="none"/>
        </w:rPr>
      </w:pPr>
      <w:r w:rsidRPr="00E63F82">
        <w:rPr>
          <w:rFonts w:ascii="Times New Roman" w:eastAsia="Times New Roman" w:hAnsi="Times New Roman" w:cs="Times New Roman"/>
          <w:kern w:val="0"/>
          <w:lang w:eastAsia="lv-LV"/>
          <w14:ligatures w14:val="none"/>
        </w:rPr>
        <w:t>No pieteikuma iesniegšanas dienas projekta īstenotājs var uzsākt atbalstāmo darbību īstenošanu (piemēram, slēgt līgumu ar piegādātāju un veikt daļēju avansa maksājumu)</w:t>
      </w:r>
      <w:r w:rsidR="0010189C">
        <w:rPr>
          <w:rFonts w:ascii="Times New Roman" w:eastAsia="Times New Roman" w:hAnsi="Times New Roman" w:cs="Times New Roman"/>
          <w:kern w:val="0"/>
          <w:lang w:eastAsia="lv-LV"/>
          <w14:ligatures w14:val="none"/>
        </w:rPr>
        <w:t>.</w:t>
      </w:r>
    </w:p>
    <w:p w14:paraId="32481586" w14:textId="2797E113" w:rsidR="009B3C6A" w:rsidRPr="00E63F82" w:rsidRDefault="009B3C6A" w:rsidP="0010189C">
      <w:pPr>
        <w:numPr>
          <w:ilvl w:val="0"/>
          <w:numId w:val="14"/>
        </w:numPr>
        <w:spacing w:after="0" w:line="240" w:lineRule="auto"/>
        <w:ind w:left="714" w:hanging="357"/>
        <w:rPr>
          <w:rFonts w:ascii="Times New Roman" w:eastAsia="Times New Roman" w:hAnsi="Times New Roman" w:cs="Times New Roman"/>
          <w:kern w:val="0"/>
          <w:lang w:eastAsia="lv-LV"/>
          <w14:ligatures w14:val="none"/>
        </w:rPr>
      </w:pPr>
      <w:r w:rsidRPr="00E63F82">
        <w:rPr>
          <w:rFonts w:ascii="Times New Roman" w:eastAsia="Times New Roman" w:hAnsi="Times New Roman" w:cs="Times New Roman"/>
          <w:kern w:val="0"/>
          <w:lang w:eastAsia="lv-LV"/>
          <w14:ligatures w14:val="none"/>
        </w:rPr>
        <w:t>Nedrīkst pabeigt uzsākto darbību – veikt gala maksājumu, 100% avansu vai parakstīt pieņemšanas-nodošanas aktu</w:t>
      </w:r>
      <w:r w:rsidR="0010189C">
        <w:rPr>
          <w:rFonts w:ascii="Times New Roman" w:eastAsia="Times New Roman" w:hAnsi="Times New Roman" w:cs="Times New Roman"/>
          <w:kern w:val="0"/>
          <w:lang w:eastAsia="lv-LV"/>
          <w14:ligatures w14:val="none"/>
        </w:rPr>
        <w:t>.</w:t>
      </w:r>
    </w:p>
    <w:p w14:paraId="525E23D3" w14:textId="77777777" w:rsidR="00916413" w:rsidRPr="007B5567" w:rsidRDefault="00000000" w:rsidP="0010189C">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pict w14:anchorId="7F116A44">
          <v:rect id="_x0000_i1028" style="width:0;height:1.5pt" o:hralign="center" o:hrstd="t" o:hr="t" fillcolor="#a0a0a0" stroked="f"/>
        </w:pict>
      </w:r>
    </w:p>
    <w:p w14:paraId="0091356A" w14:textId="5D8A3D3A" w:rsidR="00916413" w:rsidRPr="00E63F82" w:rsidRDefault="00916413" w:rsidP="0010189C">
      <w:pPr>
        <w:pStyle w:val="ListParagraph"/>
        <w:numPr>
          <w:ilvl w:val="0"/>
          <w:numId w:val="33"/>
        </w:numPr>
        <w:spacing w:after="0" w:line="240" w:lineRule="auto"/>
        <w:outlineLvl w:val="1"/>
        <w:rPr>
          <w:rFonts w:ascii="Times New Roman" w:eastAsia="Times New Roman" w:hAnsi="Times New Roman" w:cs="Times New Roman"/>
          <w:b/>
          <w:bCs/>
          <w:kern w:val="0"/>
          <w:lang w:eastAsia="lv-LV"/>
          <w14:ligatures w14:val="none"/>
        </w:rPr>
      </w:pPr>
      <w:r w:rsidRPr="00E63F82">
        <w:rPr>
          <w:rFonts w:ascii="Times New Roman" w:eastAsia="Times New Roman" w:hAnsi="Times New Roman" w:cs="Times New Roman"/>
          <w:b/>
          <w:bCs/>
          <w:kern w:val="0"/>
          <w:lang w:eastAsia="lv-LV"/>
          <w14:ligatures w14:val="none"/>
        </w:rPr>
        <w:t>Termiņi un finansējuma izmaksas</w:t>
      </w:r>
    </w:p>
    <w:p w14:paraId="563F82D0" w14:textId="77777777" w:rsidR="00E63F82" w:rsidRPr="00E63F82" w:rsidRDefault="00E63F82" w:rsidP="0010189C">
      <w:pPr>
        <w:pStyle w:val="ListParagraph"/>
        <w:spacing w:after="0" w:line="240" w:lineRule="auto"/>
        <w:outlineLvl w:val="1"/>
        <w:rPr>
          <w:rFonts w:ascii="Times New Roman" w:eastAsia="Times New Roman" w:hAnsi="Times New Roman" w:cs="Times New Roman"/>
          <w:b/>
          <w:bCs/>
          <w:kern w:val="0"/>
          <w:lang w:eastAsia="lv-LV"/>
          <w14:ligatures w14:val="none"/>
        </w:rPr>
      </w:pPr>
    </w:p>
    <w:p w14:paraId="5DBADC3A" w14:textId="16B9550C" w:rsidR="00916413"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15. Kāds ir pieteikuma iesniegšanas termiņš?</w:t>
      </w:r>
      <w:r w:rsidRPr="007B5567">
        <w:rPr>
          <w:rFonts w:ascii="Times New Roman" w:eastAsia="Times New Roman" w:hAnsi="Times New Roman" w:cs="Times New Roman"/>
          <w:kern w:val="0"/>
          <w:lang w:eastAsia="lv-LV"/>
          <w14:ligatures w14:val="none"/>
        </w:rPr>
        <w:br/>
        <w:t>Programma būs atvērta līdz finansējuma iz</w:t>
      </w:r>
      <w:r w:rsidR="00CE379C" w:rsidRPr="007B5567">
        <w:rPr>
          <w:rFonts w:ascii="Times New Roman" w:eastAsia="Times New Roman" w:hAnsi="Times New Roman" w:cs="Times New Roman"/>
          <w:kern w:val="0"/>
          <w:lang w:eastAsia="lv-LV"/>
          <w14:ligatures w14:val="none"/>
        </w:rPr>
        <w:t>lietojumam</w:t>
      </w:r>
      <w:r w:rsidRPr="007B5567">
        <w:rPr>
          <w:rFonts w:ascii="Times New Roman" w:eastAsia="Times New Roman" w:hAnsi="Times New Roman" w:cs="Times New Roman"/>
          <w:kern w:val="0"/>
          <w:lang w:eastAsia="lv-LV"/>
          <w14:ligatures w14:val="none"/>
        </w:rPr>
        <w:t>, bet ne vēlāk kā līdz 31.05.2029.</w:t>
      </w:r>
    </w:p>
    <w:p w14:paraId="58A71EA1" w14:textId="77777777" w:rsidR="00E63F82" w:rsidRPr="007B5567" w:rsidRDefault="00E63F82" w:rsidP="0010189C">
      <w:pPr>
        <w:spacing w:after="0" w:line="240" w:lineRule="auto"/>
        <w:rPr>
          <w:rFonts w:ascii="Times New Roman" w:eastAsia="Times New Roman" w:hAnsi="Times New Roman" w:cs="Times New Roman"/>
          <w:kern w:val="0"/>
          <w:lang w:eastAsia="lv-LV"/>
          <w14:ligatures w14:val="none"/>
        </w:rPr>
      </w:pPr>
    </w:p>
    <w:p w14:paraId="649F8A2A" w14:textId="77777777" w:rsidR="00916413" w:rsidRPr="007B5567" w:rsidRDefault="00916413" w:rsidP="0010189C">
      <w:pPr>
        <w:spacing w:after="0" w:line="240" w:lineRule="auto"/>
        <w:rPr>
          <w:rFonts w:ascii="Times New Roman" w:eastAsia="Times New Roman" w:hAnsi="Times New Roman" w:cs="Times New Roman"/>
          <w:kern w:val="0"/>
          <w:lang w:eastAsia="lv-LV"/>
          <w14:ligatures w14:val="none"/>
        </w:rPr>
      </w:pPr>
      <w:r w:rsidRPr="007B5567">
        <w:rPr>
          <w:rFonts w:ascii="Times New Roman" w:eastAsia="Times New Roman" w:hAnsi="Times New Roman" w:cs="Times New Roman"/>
          <w:b/>
          <w:bCs/>
          <w:kern w:val="0"/>
          <w:lang w:eastAsia="lv-LV"/>
          <w14:ligatures w14:val="none"/>
        </w:rPr>
        <w:t>16. Kurā brīdī tiek izmaksāts atbalsts?</w:t>
      </w:r>
      <w:r w:rsidRPr="007B5567">
        <w:rPr>
          <w:rFonts w:ascii="Times New Roman" w:eastAsia="Times New Roman" w:hAnsi="Times New Roman" w:cs="Times New Roman"/>
          <w:kern w:val="0"/>
          <w:lang w:eastAsia="lv-LV"/>
          <w14:ligatures w14:val="none"/>
        </w:rPr>
        <w:br/>
        <w:t>Atbalsts tiek izmaksāts pēc projekta pabeigšanas, kad uzņēmums iesniedz business.gov.lv maksājuma pieprasījumu kopā ar pamatojošiem dokumentiem.</w:t>
      </w:r>
    </w:p>
    <w:p w14:paraId="229F8B81" w14:textId="77777777" w:rsidR="006F3236" w:rsidRPr="007B5567" w:rsidRDefault="006F3236" w:rsidP="0010189C">
      <w:pPr>
        <w:spacing w:after="0" w:line="240" w:lineRule="auto"/>
        <w:rPr>
          <w:rFonts w:ascii="Times New Roman" w:hAnsi="Times New Roman" w:cs="Times New Roman"/>
        </w:rPr>
      </w:pPr>
    </w:p>
    <w:sectPr w:rsidR="006F3236" w:rsidRPr="007B5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4D8"/>
    <w:multiLevelType w:val="multilevel"/>
    <w:tmpl w:val="CA50EF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196F6E"/>
    <w:multiLevelType w:val="multilevel"/>
    <w:tmpl w:val="50CE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77C6"/>
    <w:multiLevelType w:val="multilevel"/>
    <w:tmpl w:val="8804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96AB0"/>
    <w:multiLevelType w:val="multilevel"/>
    <w:tmpl w:val="5D8C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916F6"/>
    <w:multiLevelType w:val="multilevel"/>
    <w:tmpl w:val="3CA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F4410"/>
    <w:multiLevelType w:val="multilevel"/>
    <w:tmpl w:val="D560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A22AA"/>
    <w:multiLevelType w:val="multilevel"/>
    <w:tmpl w:val="1E56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3689D"/>
    <w:multiLevelType w:val="multilevel"/>
    <w:tmpl w:val="1FFC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90315"/>
    <w:multiLevelType w:val="multilevel"/>
    <w:tmpl w:val="D216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52CBF"/>
    <w:multiLevelType w:val="multilevel"/>
    <w:tmpl w:val="A31E2A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0117C"/>
    <w:multiLevelType w:val="multilevel"/>
    <w:tmpl w:val="0F34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F097E"/>
    <w:multiLevelType w:val="multilevel"/>
    <w:tmpl w:val="CC9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72E9D"/>
    <w:multiLevelType w:val="multilevel"/>
    <w:tmpl w:val="CD5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61FAE"/>
    <w:multiLevelType w:val="multilevel"/>
    <w:tmpl w:val="12CED6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27680"/>
    <w:multiLevelType w:val="multilevel"/>
    <w:tmpl w:val="BC34B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C50C8"/>
    <w:multiLevelType w:val="multilevel"/>
    <w:tmpl w:val="B34C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F7449"/>
    <w:multiLevelType w:val="multilevel"/>
    <w:tmpl w:val="A5A07D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1267B"/>
    <w:multiLevelType w:val="multilevel"/>
    <w:tmpl w:val="10D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854DE"/>
    <w:multiLevelType w:val="multilevel"/>
    <w:tmpl w:val="351A93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706974"/>
    <w:multiLevelType w:val="hybridMultilevel"/>
    <w:tmpl w:val="C7EE87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9F1ED9"/>
    <w:multiLevelType w:val="multilevel"/>
    <w:tmpl w:val="26CE0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2C442C"/>
    <w:multiLevelType w:val="multilevel"/>
    <w:tmpl w:val="33F258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77B55"/>
    <w:multiLevelType w:val="multilevel"/>
    <w:tmpl w:val="5BCA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13ACD"/>
    <w:multiLevelType w:val="multilevel"/>
    <w:tmpl w:val="386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C7754"/>
    <w:multiLevelType w:val="multilevel"/>
    <w:tmpl w:val="664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F2B1B"/>
    <w:multiLevelType w:val="multilevel"/>
    <w:tmpl w:val="AFC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E331B"/>
    <w:multiLevelType w:val="multilevel"/>
    <w:tmpl w:val="88F83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846626"/>
    <w:multiLevelType w:val="multilevel"/>
    <w:tmpl w:val="18A6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C0F31"/>
    <w:multiLevelType w:val="multilevel"/>
    <w:tmpl w:val="FD1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593307"/>
    <w:multiLevelType w:val="multilevel"/>
    <w:tmpl w:val="88A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00828"/>
    <w:multiLevelType w:val="multilevel"/>
    <w:tmpl w:val="4BCC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90163"/>
    <w:multiLevelType w:val="multilevel"/>
    <w:tmpl w:val="8804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E078AB"/>
    <w:multiLevelType w:val="multilevel"/>
    <w:tmpl w:val="3462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233977">
    <w:abstractNumId w:val="2"/>
  </w:num>
  <w:num w:numId="2" w16cid:durableId="937256764">
    <w:abstractNumId w:val="30"/>
  </w:num>
  <w:num w:numId="3" w16cid:durableId="871647466">
    <w:abstractNumId w:val="18"/>
  </w:num>
  <w:num w:numId="4" w16cid:durableId="184489096">
    <w:abstractNumId w:val="1"/>
  </w:num>
  <w:num w:numId="5" w16cid:durableId="1622104370">
    <w:abstractNumId w:val="21"/>
  </w:num>
  <w:num w:numId="6" w16cid:durableId="1527717660">
    <w:abstractNumId w:val="4"/>
  </w:num>
  <w:num w:numId="7" w16cid:durableId="476994159">
    <w:abstractNumId w:val="14"/>
  </w:num>
  <w:num w:numId="8" w16cid:durableId="808475628">
    <w:abstractNumId w:val="11"/>
  </w:num>
  <w:num w:numId="9" w16cid:durableId="1206601979">
    <w:abstractNumId w:val="13"/>
  </w:num>
  <w:num w:numId="10" w16cid:durableId="631791193">
    <w:abstractNumId w:val="5"/>
  </w:num>
  <w:num w:numId="11" w16cid:durableId="815606913">
    <w:abstractNumId w:val="26"/>
  </w:num>
  <w:num w:numId="12" w16cid:durableId="38432182">
    <w:abstractNumId w:val="6"/>
  </w:num>
  <w:num w:numId="13" w16cid:durableId="602153252">
    <w:abstractNumId w:val="16"/>
  </w:num>
  <w:num w:numId="14" w16cid:durableId="1412658074">
    <w:abstractNumId w:val="12"/>
  </w:num>
  <w:num w:numId="15" w16cid:durableId="23018768">
    <w:abstractNumId w:val="9"/>
  </w:num>
  <w:num w:numId="16" w16cid:durableId="1268729706">
    <w:abstractNumId w:val="27"/>
  </w:num>
  <w:num w:numId="17" w16cid:durableId="989096416">
    <w:abstractNumId w:val="28"/>
  </w:num>
  <w:num w:numId="18" w16cid:durableId="1706521938">
    <w:abstractNumId w:val="32"/>
  </w:num>
  <w:num w:numId="19" w16cid:durableId="303044607">
    <w:abstractNumId w:val="7"/>
  </w:num>
  <w:num w:numId="20" w16cid:durableId="1752389913">
    <w:abstractNumId w:val="23"/>
  </w:num>
  <w:num w:numId="21" w16cid:durableId="414785495">
    <w:abstractNumId w:val="22"/>
  </w:num>
  <w:num w:numId="22" w16cid:durableId="972099583">
    <w:abstractNumId w:val="10"/>
  </w:num>
  <w:num w:numId="23" w16cid:durableId="517276674">
    <w:abstractNumId w:val="25"/>
  </w:num>
  <w:num w:numId="24" w16cid:durableId="1589341669">
    <w:abstractNumId w:val="31"/>
  </w:num>
  <w:num w:numId="25" w16cid:durableId="1105350626">
    <w:abstractNumId w:val="20"/>
  </w:num>
  <w:num w:numId="26" w16cid:durableId="1445077667">
    <w:abstractNumId w:val="24"/>
  </w:num>
  <w:num w:numId="27" w16cid:durableId="1391927587">
    <w:abstractNumId w:val="3"/>
  </w:num>
  <w:num w:numId="28" w16cid:durableId="1116024253">
    <w:abstractNumId w:val="0"/>
  </w:num>
  <w:num w:numId="29" w16cid:durableId="685903846">
    <w:abstractNumId w:val="29"/>
  </w:num>
  <w:num w:numId="30" w16cid:durableId="1227690399">
    <w:abstractNumId w:val="8"/>
  </w:num>
  <w:num w:numId="31" w16cid:durableId="1046030309">
    <w:abstractNumId w:val="17"/>
  </w:num>
  <w:num w:numId="32" w16cid:durableId="1531916712">
    <w:abstractNumId w:val="15"/>
  </w:num>
  <w:num w:numId="33" w16cid:durableId="651329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8F"/>
    <w:rsid w:val="00085E6E"/>
    <w:rsid w:val="0009647C"/>
    <w:rsid w:val="000C3B5D"/>
    <w:rsid w:val="000C5661"/>
    <w:rsid w:val="000E5B01"/>
    <w:rsid w:val="0010189C"/>
    <w:rsid w:val="001021E8"/>
    <w:rsid w:val="001C21A9"/>
    <w:rsid w:val="0028107A"/>
    <w:rsid w:val="002D448F"/>
    <w:rsid w:val="002E7563"/>
    <w:rsid w:val="00330EF1"/>
    <w:rsid w:val="003557A1"/>
    <w:rsid w:val="003F4715"/>
    <w:rsid w:val="004805E0"/>
    <w:rsid w:val="004B69CE"/>
    <w:rsid w:val="00504AFC"/>
    <w:rsid w:val="00550A03"/>
    <w:rsid w:val="00614237"/>
    <w:rsid w:val="00666ED0"/>
    <w:rsid w:val="006A2D67"/>
    <w:rsid w:val="006D4420"/>
    <w:rsid w:val="006F3236"/>
    <w:rsid w:val="00767CE8"/>
    <w:rsid w:val="007A5C74"/>
    <w:rsid w:val="007B5567"/>
    <w:rsid w:val="00835C12"/>
    <w:rsid w:val="00881545"/>
    <w:rsid w:val="00916413"/>
    <w:rsid w:val="00930013"/>
    <w:rsid w:val="00935FED"/>
    <w:rsid w:val="009B3C6A"/>
    <w:rsid w:val="00A524AE"/>
    <w:rsid w:val="00AE1FBC"/>
    <w:rsid w:val="00B239FA"/>
    <w:rsid w:val="00B62EE9"/>
    <w:rsid w:val="00B87BF5"/>
    <w:rsid w:val="00BA594B"/>
    <w:rsid w:val="00BD389D"/>
    <w:rsid w:val="00BD53EA"/>
    <w:rsid w:val="00C33D9B"/>
    <w:rsid w:val="00C4134E"/>
    <w:rsid w:val="00C5100E"/>
    <w:rsid w:val="00C601F2"/>
    <w:rsid w:val="00CB2EAA"/>
    <w:rsid w:val="00CE379C"/>
    <w:rsid w:val="00D76C88"/>
    <w:rsid w:val="00DE150C"/>
    <w:rsid w:val="00E63F82"/>
    <w:rsid w:val="00ED2780"/>
    <w:rsid w:val="00EE1CC2"/>
    <w:rsid w:val="00F21068"/>
    <w:rsid w:val="00F6215A"/>
    <w:rsid w:val="00F966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8436"/>
  <w15:chartTrackingRefBased/>
  <w15:docId w15:val="{B3E08CA2-B8A9-4099-9656-BA97297D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48F"/>
    <w:rPr>
      <w:rFonts w:eastAsiaTheme="majorEastAsia" w:cstheme="majorBidi"/>
      <w:color w:val="272727" w:themeColor="text1" w:themeTint="D8"/>
    </w:rPr>
  </w:style>
  <w:style w:type="paragraph" w:styleId="Title">
    <w:name w:val="Title"/>
    <w:basedOn w:val="Normal"/>
    <w:next w:val="Normal"/>
    <w:link w:val="TitleChar"/>
    <w:uiPriority w:val="10"/>
    <w:qFormat/>
    <w:rsid w:val="002D4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48F"/>
    <w:pPr>
      <w:spacing w:before="160"/>
      <w:jc w:val="center"/>
    </w:pPr>
    <w:rPr>
      <w:i/>
      <w:iCs/>
      <w:color w:val="404040" w:themeColor="text1" w:themeTint="BF"/>
    </w:rPr>
  </w:style>
  <w:style w:type="character" w:customStyle="1" w:styleId="QuoteChar">
    <w:name w:val="Quote Char"/>
    <w:basedOn w:val="DefaultParagraphFont"/>
    <w:link w:val="Quote"/>
    <w:uiPriority w:val="29"/>
    <w:rsid w:val="002D448F"/>
    <w:rPr>
      <w:i/>
      <w:iCs/>
      <w:color w:val="404040" w:themeColor="text1" w:themeTint="BF"/>
    </w:rPr>
  </w:style>
  <w:style w:type="paragraph" w:styleId="ListParagraph">
    <w:name w:val="List Paragraph"/>
    <w:basedOn w:val="Normal"/>
    <w:uiPriority w:val="34"/>
    <w:qFormat/>
    <w:rsid w:val="002D448F"/>
    <w:pPr>
      <w:ind w:left="720"/>
      <w:contextualSpacing/>
    </w:pPr>
  </w:style>
  <w:style w:type="character" w:styleId="IntenseEmphasis">
    <w:name w:val="Intense Emphasis"/>
    <w:basedOn w:val="DefaultParagraphFont"/>
    <w:uiPriority w:val="21"/>
    <w:qFormat/>
    <w:rsid w:val="002D448F"/>
    <w:rPr>
      <w:i/>
      <w:iCs/>
      <w:color w:val="0F4761" w:themeColor="accent1" w:themeShade="BF"/>
    </w:rPr>
  </w:style>
  <w:style w:type="paragraph" w:styleId="IntenseQuote">
    <w:name w:val="Intense Quote"/>
    <w:basedOn w:val="Normal"/>
    <w:next w:val="Normal"/>
    <w:link w:val="IntenseQuoteChar"/>
    <w:uiPriority w:val="30"/>
    <w:qFormat/>
    <w:rsid w:val="002D4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48F"/>
    <w:rPr>
      <w:i/>
      <w:iCs/>
      <w:color w:val="0F4761" w:themeColor="accent1" w:themeShade="BF"/>
    </w:rPr>
  </w:style>
  <w:style w:type="character" w:styleId="IntenseReference">
    <w:name w:val="Intense Reference"/>
    <w:basedOn w:val="DefaultParagraphFont"/>
    <w:uiPriority w:val="32"/>
    <w:qFormat/>
    <w:rsid w:val="002D448F"/>
    <w:rPr>
      <w:b/>
      <w:bCs/>
      <w:smallCaps/>
      <w:color w:val="0F4761" w:themeColor="accent1" w:themeShade="BF"/>
      <w:spacing w:val="5"/>
    </w:rPr>
  </w:style>
  <w:style w:type="character" w:styleId="Hyperlink">
    <w:name w:val="Hyperlink"/>
    <w:basedOn w:val="DefaultParagraphFont"/>
    <w:uiPriority w:val="99"/>
    <w:unhideWhenUsed/>
    <w:rsid w:val="002D448F"/>
    <w:rPr>
      <w:color w:val="467886" w:themeColor="hyperlink"/>
      <w:u w:val="single"/>
    </w:rPr>
  </w:style>
  <w:style w:type="character" w:styleId="UnresolvedMention">
    <w:name w:val="Unresolved Mention"/>
    <w:basedOn w:val="DefaultParagraphFont"/>
    <w:uiPriority w:val="99"/>
    <w:semiHidden/>
    <w:unhideWhenUsed/>
    <w:rsid w:val="002D448F"/>
    <w:rPr>
      <w:color w:val="605E5C"/>
      <w:shd w:val="clear" w:color="auto" w:fill="E1DFDD"/>
    </w:rPr>
  </w:style>
  <w:style w:type="paragraph" w:styleId="NormalWeb">
    <w:name w:val="Normal (Web)"/>
    <w:basedOn w:val="Normal"/>
    <w:uiPriority w:val="99"/>
    <w:unhideWhenUsed/>
    <w:rsid w:val="00CB2EAA"/>
    <w:pPr>
      <w:spacing w:before="100" w:beforeAutospacing="1" w:after="100" w:afterAutospacing="1" w:line="240" w:lineRule="auto"/>
    </w:pPr>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8155">
      <w:bodyDiv w:val="1"/>
      <w:marLeft w:val="0"/>
      <w:marRight w:val="0"/>
      <w:marTop w:val="0"/>
      <w:marBottom w:val="0"/>
      <w:divBdr>
        <w:top w:val="none" w:sz="0" w:space="0" w:color="auto"/>
        <w:left w:val="none" w:sz="0" w:space="0" w:color="auto"/>
        <w:bottom w:val="none" w:sz="0" w:space="0" w:color="auto"/>
        <w:right w:val="none" w:sz="0" w:space="0" w:color="auto"/>
      </w:divBdr>
    </w:div>
    <w:div w:id="771584595">
      <w:bodyDiv w:val="1"/>
      <w:marLeft w:val="0"/>
      <w:marRight w:val="0"/>
      <w:marTop w:val="0"/>
      <w:marBottom w:val="0"/>
      <w:divBdr>
        <w:top w:val="none" w:sz="0" w:space="0" w:color="auto"/>
        <w:left w:val="none" w:sz="0" w:space="0" w:color="auto"/>
        <w:bottom w:val="none" w:sz="0" w:space="0" w:color="auto"/>
        <w:right w:val="none" w:sz="0" w:space="0" w:color="auto"/>
      </w:divBdr>
    </w:div>
    <w:div w:id="1062292215">
      <w:bodyDiv w:val="1"/>
      <w:marLeft w:val="0"/>
      <w:marRight w:val="0"/>
      <w:marTop w:val="0"/>
      <w:marBottom w:val="0"/>
      <w:divBdr>
        <w:top w:val="none" w:sz="0" w:space="0" w:color="auto"/>
        <w:left w:val="none" w:sz="0" w:space="0" w:color="auto"/>
        <w:bottom w:val="none" w:sz="0" w:space="0" w:color="auto"/>
        <w:right w:val="none" w:sz="0" w:space="0" w:color="auto"/>
      </w:divBdr>
    </w:div>
    <w:div w:id="1123693523">
      <w:bodyDiv w:val="1"/>
      <w:marLeft w:val="0"/>
      <w:marRight w:val="0"/>
      <w:marTop w:val="0"/>
      <w:marBottom w:val="0"/>
      <w:divBdr>
        <w:top w:val="none" w:sz="0" w:space="0" w:color="auto"/>
        <w:left w:val="none" w:sz="0" w:space="0" w:color="auto"/>
        <w:bottom w:val="none" w:sz="0" w:space="0" w:color="auto"/>
        <w:right w:val="none" w:sz="0" w:space="0" w:color="auto"/>
      </w:divBdr>
    </w:div>
    <w:div w:id="1330909559">
      <w:bodyDiv w:val="1"/>
      <w:marLeft w:val="0"/>
      <w:marRight w:val="0"/>
      <w:marTop w:val="0"/>
      <w:marBottom w:val="0"/>
      <w:divBdr>
        <w:top w:val="none" w:sz="0" w:space="0" w:color="auto"/>
        <w:left w:val="none" w:sz="0" w:space="0" w:color="auto"/>
        <w:bottom w:val="none" w:sz="0" w:space="0" w:color="auto"/>
        <w:right w:val="none" w:sz="0" w:space="0" w:color="auto"/>
      </w:divBdr>
    </w:div>
    <w:div w:id="1479298187">
      <w:bodyDiv w:val="1"/>
      <w:marLeft w:val="0"/>
      <w:marRight w:val="0"/>
      <w:marTop w:val="0"/>
      <w:marBottom w:val="0"/>
      <w:divBdr>
        <w:top w:val="none" w:sz="0" w:space="0" w:color="auto"/>
        <w:left w:val="none" w:sz="0" w:space="0" w:color="auto"/>
        <w:bottom w:val="none" w:sz="0" w:space="0" w:color="auto"/>
        <w:right w:val="none" w:sz="0" w:space="0" w:color="auto"/>
      </w:divBdr>
    </w:div>
    <w:div w:id="1925608062">
      <w:bodyDiv w:val="1"/>
      <w:marLeft w:val="0"/>
      <w:marRight w:val="0"/>
      <w:marTop w:val="0"/>
      <w:marBottom w:val="0"/>
      <w:divBdr>
        <w:top w:val="none" w:sz="0" w:space="0" w:color="auto"/>
        <w:left w:val="none" w:sz="0" w:space="0" w:color="auto"/>
        <w:bottom w:val="none" w:sz="0" w:space="0" w:color="auto"/>
        <w:right w:val="none" w:sz="0" w:space="0" w:color="auto"/>
      </w:divBdr>
    </w:div>
    <w:div w:id="1978299878">
      <w:bodyDiv w:val="1"/>
      <w:marLeft w:val="0"/>
      <w:marRight w:val="0"/>
      <w:marTop w:val="0"/>
      <w:marBottom w:val="0"/>
      <w:divBdr>
        <w:top w:val="none" w:sz="0" w:space="0" w:color="auto"/>
        <w:left w:val="none" w:sz="0" w:space="0" w:color="auto"/>
        <w:bottom w:val="none" w:sz="0" w:space="0" w:color="auto"/>
        <w:right w:val="none" w:sz="0" w:space="0" w:color="auto"/>
      </w:divBdr>
    </w:div>
    <w:div w:id="21234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3056</Words>
  <Characters>1742</Characters>
  <Application>Microsoft Office Word</Application>
  <DocSecurity>0</DocSecurity>
  <Lines>14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Ilga Maļina</dc:creator>
  <cp:keywords/>
  <dc:description/>
  <cp:lastModifiedBy>Ilga Maļina</cp:lastModifiedBy>
  <cp:revision>48</cp:revision>
  <dcterms:created xsi:type="dcterms:W3CDTF">2025-08-14T12:01:00Z</dcterms:created>
  <dcterms:modified xsi:type="dcterms:W3CDTF">2025-08-20T08:13:00Z</dcterms:modified>
</cp:coreProperties>
</file>