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7BFEB34B" w:rsidR="00EC4BC7" w:rsidRPr="00301120" w:rsidRDefault="00301120" w:rsidP="00EC4BC7">
      <w:pPr>
        <w:pStyle w:val="BodyText"/>
        <w:spacing w:before="1"/>
        <w:rPr>
          <w:b/>
          <w:bCs/>
        </w:rPr>
      </w:pPr>
      <w:r w:rsidRPr="00301120">
        <w:rPr>
          <w:b/>
        </w:rPr>
        <w:t xml:space="preserve">Nacionālā stenda starptautiskajā </w:t>
      </w:r>
      <w:r w:rsidRPr="00D0756D">
        <w:rPr>
          <w:b/>
        </w:rPr>
        <w:t xml:space="preserve">būvniecības </w:t>
      </w:r>
      <w:r w:rsidRPr="00301120">
        <w:rPr>
          <w:b/>
        </w:rPr>
        <w:t>izstādē „BAU 2027” Vācijā</w:t>
      </w:r>
      <w:r>
        <w:rPr>
          <w:b/>
        </w:rPr>
        <w:t xml:space="preserve"> (</w:t>
      </w:r>
      <w:r w:rsidRPr="00301120">
        <w:rPr>
          <w:b/>
        </w:rPr>
        <w:t>Minhen</w:t>
      </w:r>
      <w:r>
        <w:rPr>
          <w:b/>
        </w:rPr>
        <w:t>e)</w:t>
      </w:r>
      <w:r w:rsidRPr="00301120">
        <w:rPr>
          <w:b/>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5A020F17"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būvniecības izstādē "</w:t>
      </w:r>
      <w:r w:rsidR="00301120">
        <w:t>BAU</w:t>
      </w:r>
      <w:r w:rsidR="00F75A58" w:rsidRPr="00F75A58">
        <w:t xml:space="preserve"> </w:t>
      </w:r>
      <w:r w:rsidR="00EC4BC7" w:rsidRPr="00EC4BC7">
        <w:t>202</w:t>
      </w:r>
      <w:r w:rsidR="00301120">
        <w:t>7</w:t>
      </w:r>
      <w:r w:rsidR="00EC4BC7" w:rsidRPr="00EC4BC7">
        <w:t>"</w:t>
      </w:r>
      <w:r w:rsidR="006F7D0F">
        <w:t xml:space="preserve">, </w:t>
      </w:r>
      <w:r w:rsidR="006F7D0F" w:rsidRPr="00D0756D">
        <w:t>kas norisināsies 202</w:t>
      </w:r>
      <w:r w:rsidR="00301120">
        <w:t>7</w:t>
      </w:r>
      <w:r w:rsidR="006F7D0F" w:rsidRPr="00D0756D">
        <w:t>. gada</w:t>
      </w:r>
      <w:r w:rsidR="006F7D0F">
        <w:t xml:space="preserve"> </w:t>
      </w:r>
      <w:r w:rsidR="00301120">
        <w:t>11</w:t>
      </w:r>
      <w:r w:rsidR="006F7D0F">
        <w:t>.-</w:t>
      </w:r>
      <w:r w:rsidR="00301120">
        <w:t>15</w:t>
      </w:r>
      <w:r w:rsidR="006F7D0F">
        <w:t xml:space="preserve">. </w:t>
      </w:r>
      <w:r w:rsidR="00301120">
        <w:t>janvārī Vācijā</w:t>
      </w:r>
      <w:r w:rsidR="00F75A58" w:rsidRPr="00F75A58">
        <w:t xml:space="preserve"> (</w:t>
      </w:r>
      <w:r w:rsidR="00301120">
        <w:t>Minhene</w:t>
      </w:r>
      <w:r w:rsidR="00F75A58" w:rsidRPr="00F75A58">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13D5CAAA"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6F7D0F">
        <w:t>6</w:t>
      </w:r>
      <w:r>
        <w:t>.</w:t>
      </w:r>
      <w:r>
        <w:rPr>
          <w:spacing w:val="-10"/>
        </w:rPr>
        <w:t xml:space="preserve"> </w:t>
      </w:r>
      <w:r>
        <w:t>gada</w:t>
      </w:r>
      <w:r>
        <w:rPr>
          <w:spacing w:val="-9"/>
        </w:rPr>
        <w:t xml:space="preserve"> </w:t>
      </w:r>
      <w:r w:rsidR="006F7D0F">
        <w:t>30</w:t>
      </w:r>
      <w:r>
        <w:t>.</w:t>
      </w:r>
      <w:r w:rsidR="006F7D0F" w:rsidRPr="006F7D0F">
        <w:t xml:space="preserve"> </w:t>
      </w:r>
      <w:r w:rsidR="006F7D0F">
        <w:t>aprīļa</w:t>
      </w:r>
      <w:r>
        <w:t xml:space="preserve"> līdz 202</w:t>
      </w:r>
      <w:r w:rsidR="006F7D0F">
        <w:t>7</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42E1B3FC"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6F7D0F">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30E9FE7C"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6F7D0F">
        <w:t>7</w:t>
      </w:r>
      <w:r>
        <w:t>.</w:t>
      </w:r>
      <w:r>
        <w:rPr>
          <w:spacing w:val="-3"/>
        </w:rPr>
        <w:t xml:space="preserve"> </w:t>
      </w:r>
      <w:r>
        <w:t>gada</w:t>
      </w:r>
      <w:r>
        <w:rPr>
          <w:spacing w:val="-1"/>
        </w:rPr>
        <w:t xml:space="preserve"> </w:t>
      </w:r>
      <w:r>
        <w:rPr>
          <w:spacing w:val="-2"/>
        </w:rPr>
        <w:t>31.decembris;</w:t>
      </w:r>
    </w:p>
    <w:p w14:paraId="11625039" w14:textId="4671E513"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6F7D0F">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77C1" w14:textId="77777777" w:rsidR="00D6556C" w:rsidRDefault="00D6556C">
      <w:r>
        <w:separator/>
      </w:r>
    </w:p>
  </w:endnote>
  <w:endnote w:type="continuationSeparator" w:id="0">
    <w:p w14:paraId="174835A8" w14:textId="77777777" w:rsidR="00D6556C" w:rsidRDefault="00D6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A84A" w14:textId="77777777" w:rsidR="00D6556C" w:rsidRDefault="00D6556C">
      <w:r>
        <w:separator/>
      </w:r>
    </w:p>
  </w:footnote>
  <w:footnote w:type="continuationSeparator" w:id="0">
    <w:p w14:paraId="7B4CD4B5" w14:textId="77777777" w:rsidR="00D6556C" w:rsidRDefault="00D6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77718"/>
    <w:rsid w:val="001F026A"/>
    <w:rsid w:val="002E094F"/>
    <w:rsid w:val="00301120"/>
    <w:rsid w:val="003804A7"/>
    <w:rsid w:val="004022B3"/>
    <w:rsid w:val="00495DC7"/>
    <w:rsid w:val="004D4A0F"/>
    <w:rsid w:val="004E0FB9"/>
    <w:rsid w:val="004F1F31"/>
    <w:rsid w:val="00593B80"/>
    <w:rsid w:val="006F7D0F"/>
    <w:rsid w:val="00777921"/>
    <w:rsid w:val="007D2F79"/>
    <w:rsid w:val="007E6864"/>
    <w:rsid w:val="008B79A3"/>
    <w:rsid w:val="008C5AD4"/>
    <w:rsid w:val="009E2285"/>
    <w:rsid w:val="00B16C1B"/>
    <w:rsid w:val="00B3392E"/>
    <w:rsid w:val="00B375E7"/>
    <w:rsid w:val="00B87E4E"/>
    <w:rsid w:val="00C43792"/>
    <w:rsid w:val="00D1508C"/>
    <w:rsid w:val="00D6556C"/>
    <w:rsid w:val="00DC166A"/>
    <w:rsid w:val="00E4699E"/>
    <w:rsid w:val="00E94FEC"/>
    <w:rsid w:val="00EB10C0"/>
    <w:rsid w:val="00EC4BC7"/>
    <w:rsid w:val="00F75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9</cp:revision>
  <dcterms:created xsi:type="dcterms:W3CDTF">2025-02-25T09:18:00Z</dcterms:created>
  <dcterms:modified xsi:type="dcterms:W3CDTF">2026-07-15T10:08:00Z</dcterms:modified>
</cp:coreProperties>
</file>